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66" w:rsidRPr="001660AD" w:rsidRDefault="003B5466" w:rsidP="003B5466">
      <w:pPr>
        <w:pStyle w:val="Title"/>
        <w:rPr>
          <w:rFonts w:ascii="Arial" w:hAnsi="Arial" w:cs="Arial"/>
          <w:szCs w:val="24"/>
        </w:rPr>
      </w:pPr>
      <w:r w:rsidRPr="001660AD">
        <w:rPr>
          <w:rFonts w:ascii="Arial" w:hAnsi="Arial" w:cs="Arial"/>
          <w:szCs w:val="24"/>
        </w:rPr>
        <w:t>BORDERS COLLEGE</w:t>
      </w:r>
    </w:p>
    <w:p w:rsidR="003B5466" w:rsidRPr="001660AD" w:rsidRDefault="003B5466" w:rsidP="003B5466">
      <w:pPr>
        <w:pStyle w:val="Title"/>
        <w:rPr>
          <w:rFonts w:ascii="Arial" w:hAnsi="Arial" w:cs="Arial"/>
          <w:szCs w:val="24"/>
        </w:rPr>
      </w:pPr>
    </w:p>
    <w:p w:rsidR="003B5466" w:rsidRPr="001660AD" w:rsidRDefault="003B5466" w:rsidP="003B5466">
      <w:pPr>
        <w:pStyle w:val="Title"/>
        <w:rPr>
          <w:rFonts w:ascii="Arial" w:hAnsi="Arial" w:cs="Arial"/>
          <w:szCs w:val="24"/>
        </w:rPr>
      </w:pPr>
      <w:r w:rsidRPr="001660AD">
        <w:rPr>
          <w:rFonts w:ascii="Arial" w:hAnsi="Arial" w:cs="Arial"/>
          <w:szCs w:val="24"/>
        </w:rPr>
        <w:t>AUDIT COMMITTEE</w:t>
      </w:r>
    </w:p>
    <w:p w:rsidR="003B5466" w:rsidRPr="001660AD" w:rsidRDefault="003B5466" w:rsidP="003B5466">
      <w:pPr>
        <w:jc w:val="center"/>
        <w:rPr>
          <w:rFonts w:ascii="Arial" w:hAnsi="Arial" w:cs="Arial"/>
          <w:b/>
        </w:rPr>
      </w:pPr>
    </w:p>
    <w:p w:rsidR="003B5466" w:rsidRPr="001660AD" w:rsidRDefault="003B5466" w:rsidP="003B5466">
      <w:pPr>
        <w:jc w:val="center"/>
        <w:rPr>
          <w:rFonts w:ascii="Arial" w:hAnsi="Arial" w:cs="Arial"/>
          <w:b/>
        </w:rPr>
      </w:pPr>
      <w:r w:rsidRPr="001660AD">
        <w:rPr>
          <w:rFonts w:ascii="Arial" w:hAnsi="Arial" w:cs="Arial"/>
          <w:b/>
        </w:rPr>
        <w:t>TERMS OF REFERENCE</w:t>
      </w:r>
    </w:p>
    <w:p w:rsidR="003B5466" w:rsidRPr="001660AD" w:rsidRDefault="003B5466" w:rsidP="003B5466">
      <w:pPr>
        <w:pStyle w:val="Heading1"/>
        <w:jc w:val="center"/>
        <w:rPr>
          <w:rFonts w:ascii="Arial" w:hAnsi="Arial" w:cs="Arial"/>
          <w:szCs w:val="24"/>
        </w:rPr>
      </w:pPr>
    </w:p>
    <w:p w:rsidR="003B5466" w:rsidRPr="001660AD" w:rsidRDefault="003B5466" w:rsidP="003B5466">
      <w:pPr>
        <w:rPr>
          <w:rFonts w:ascii="Arial" w:hAnsi="Arial" w:cs="Arial"/>
        </w:rPr>
      </w:pPr>
    </w:p>
    <w:p w:rsidR="003B5466" w:rsidRPr="001660AD" w:rsidRDefault="003B5466" w:rsidP="003B5466">
      <w:pPr>
        <w:pStyle w:val="ListParagraph"/>
        <w:numPr>
          <w:ilvl w:val="0"/>
          <w:numId w:val="3"/>
        </w:numPr>
        <w:ind w:left="709" w:hanging="425"/>
        <w:rPr>
          <w:rFonts w:ascii="Arial" w:hAnsi="Arial" w:cs="Arial"/>
          <w:b/>
        </w:rPr>
      </w:pPr>
      <w:r w:rsidRPr="001660AD">
        <w:rPr>
          <w:rFonts w:ascii="Arial" w:hAnsi="Arial" w:cs="Arial"/>
          <w:b/>
        </w:rPr>
        <w:t>Constitution</w:t>
      </w:r>
    </w:p>
    <w:p w:rsidR="003B5466" w:rsidRPr="001660AD" w:rsidRDefault="003B5466" w:rsidP="003B5466">
      <w:pPr>
        <w:pStyle w:val="ListParagraph"/>
        <w:tabs>
          <w:tab w:val="left" w:pos="1134"/>
          <w:tab w:val="left" w:pos="1843"/>
        </w:tabs>
        <w:rPr>
          <w:rFonts w:ascii="Arial" w:hAnsi="Arial" w:cs="Arial"/>
          <w:b/>
        </w:rPr>
      </w:pPr>
      <w:r w:rsidRPr="001660AD">
        <w:rPr>
          <w:rFonts w:ascii="Arial" w:hAnsi="Arial" w:cs="Arial"/>
          <w:b/>
        </w:rPr>
        <w:tab/>
      </w:r>
    </w:p>
    <w:p w:rsidR="003B5466" w:rsidRPr="001660AD" w:rsidRDefault="003B5466" w:rsidP="003B5466">
      <w:pPr>
        <w:pStyle w:val="ListParagraph"/>
        <w:ind w:left="709" w:hanging="567"/>
        <w:rPr>
          <w:rFonts w:ascii="Arial" w:hAnsi="Arial" w:cs="Arial"/>
        </w:rPr>
      </w:pPr>
      <w:r w:rsidRPr="001660AD">
        <w:rPr>
          <w:rFonts w:ascii="Arial" w:hAnsi="Arial" w:cs="Arial"/>
          <w:bCs/>
        </w:rPr>
        <w:t xml:space="preserve">    </w:t>
      </w:r>
      <w:r w:rsidRPr="001660AD">
        <w:rPr>
          <w:rFonts w:ascii="Arial" w:hAnsi="Arial" w:cs="Arial"/>
          <w:bCs/>
        </w:rPr>
        <w:tab/>
        <w:t>A minimum of</w:t>
      </w:r>
      <w:r w:rsidRPr="001660AD">
        <w:rPr>
          <w:rFonts w:ascii="Arial" w:hAnsi="Arial" w:cs="Arial"/>
          <w:b/>
        </w:rPr>
        <w:t xml:space="preserve"> </w:t>
      </w:r>
      <w:r w:rsidRPr="001660AD">
        <w:rPr>
          <w:rFonts w:ascii="Arial" w:hAnsi="Arial" w:cs="Arial"/>
        </w:rPr>
        <w:t>five Members of the Regional Board, excluding the Chair of the Board, Chair or Member of the Finance and General Purposes Committee and Principal.</w:t>
      </w:r>
    </w:p>
    <w:p w:rsidR="003B5466" w:rsidRPr="001660AD" w:rsidRDefault="003B5466" w:rsidP="003B5466">
      <w:pPr>
        <w:tabs>
          <w:tab w:val="left" w:pos="2160"/>
        </w:tabs>
        <w:ind w:left="709" w:hanging="2160"/>
        <w:jc w:val="both"/>
        <w:rPr>
          <w:rFonts w:ascii="Arial" w:hAnsi="Arial" w:cs="Arial"/>
          <w:b/>
        </w:rPr>
      </w:pPr>
    </w:p>
    <w:p w:rsidR="003B5466" w:rsidRPr="001660AD" w:rsidRDefault="003B5466" w:rsidP="003B5466">
      <w:pPr>
        <w:tabs>
          <w:tab w:val="left" w:pos="1701"/>
        </w:tabs>
        <w:ind w:left="709" w:hanging="1877"/>
        <w:rPr>
          <w:rFonts w:ascii="Arial" w:hAnsi="Arial" w:cs="Arial"/>
          <w:bCs/>
        </w:rPr>
      </w:pPr>
      <w:r w:rsidRPr="001660AD">
        <w:rPr>
          <w:rFonts w:ascii="Arial" w:hAnsi="Arial" w:cs="Arial"/>
          <w:b/>
        </w:rPr>
        <w:tab/>
      </w:r>
      <w:r w:rsidRPr="001660AD">
        <w:rPr>
          <w:rFonts w:ascii="Arial" w:hAnsi="Arial" w:cs="Arial"/>
        </w:rPr>
        <w:t xml:space="preserve">At least one member of the Committee should have a background in finance, accounting or auditing; if no such member has the requisite background then the Committee may co-opt an individual with the appropriate background.  The Regional Board will be advised of the details of any proposed co-opted individual. The co-opted individual will not count for the purposes of constituting a quorum.  The Vice Principal, Finance and Corporate Services and Principal </w:t>
      </w:r>
      <w:r w:rsidRPr="001660AD">
        <w:rPr>
          <w:rFonts w:ascii="Arial" w:hAnsi="Arial" w:cs="Arial"/>
          <w:bCs/>
        </w:rPr>
        <w:t>would normally be in attendance but may be excluded at the request of the Committee.</w:t>
      </w:r>
    </w:p>
    <w:p w:rsidR="003B5466" w:rsidRPr="001660AD" w:rsidRDefault="003B5466" w:rsidP="003B5466">
      <w:pPr>
        <w:tabs>
          <w:tab w:val="left" w:pos="1134"/>
          <w:tab w:val="left" w:pos="1701"/>
        </w:tabs>
        <w:ind w:left="709" w:hanging="2160"/>
        <w:rPr>
          <w:rFonts w:ascii="Arial" w:hAnsi="Arial" w:cs="Arial"/>
        </w:rPr>
      </w:pPr>
    </w:p>
    <w:p w:rsidR="003B5466" w:rsidRPr="001660AD" w:rsidRDefault="003B5466" w:rsidP="003B5466">
      <w:pPr>
        <w:pStyle w:val="ListParagraph"/>
        <w:numPr>
          <w:ilvl w:val="1"/>
          <w:numId w:val="1"/>
        </w:numPr>
        <w:ind w:left="709" w:firstLine="0"/>
        <w:rPr>
          <w:rFonts w:ascii="Arial" w:hAnsi="Arial" w:cs="Arial"/>
        </w:rPr>
      </w:pPr>
      <w:r w:rsidRPr="001660AD">
        <w:rPr>
          <w:rFonts w:ascii="Arial" w:hAnsi="Arial" w:cs="Arial"/>
          <w:b/>
        </w:rPr>
        <w:t>Quorum:</w:t>
      </w:r>
      <w:r w:rsidRPr="001660AD">
        <w:rPr>
          <w:rFonts w:ascii="Arial" w:hAnsi="Arial" w:cs="Arial"/>
        </w:rPr>
        <w:t xml:space="preserve"> Three members of the Committee shall constitute a quorum.</w:t>
      </w:r>
    </w:p>
    <w:p w:rsidR="003B5466" w:rsidRPr="001660AD" w:rsidRDefault="003B5466" w:rsidP="003B5466">
      <w:pPr>
        <w:pStyle w:val="ListParagraph"/>
        <w:tabs>
          <w:tab w:val="left" w:pos="1134"/>
        </w:tabs>
        <w:ind w:left="709" w:hanging="850"/>
        <w:rPr>
          <w:rFonts w:ascii="Arial" w:hAnsi="Arial" w:cs="Arial"/>
        </w:rPr>
      </w:pPr>
    </w:p>
    <w:p w:rsidR="003B5466" w:rsidRPr="001660AD" w:rsidRDefault="003B5466" w:rsidP="003B5466">
      <w:pPr>
        <w:pStyle w:val="ListParagraph"/>
        <w:numPr>
          <w:ilvl w:val="1"/>
          <w:numId w:val="1"/>
        </w:numPr>
        <w:ind w:left="709" w:firstLine="0"/>
        <w:rPr>
          <w:rFonts w:ascii="Arial" w:hAnsi="Arial" w:cs="Arial"/>
        </w:rPr>
      </w:pPr>
      <w:r w:rsidRPr="001660AD">
        <w:rPr>
          <w:rFonts w:ascii="Arial" w:hAnsi="Arial" w:cs="Arial"/>
          <w:b/>
        </w:rPr>
        <w:t xml:space="preserve">Chair: </w:t>
      </w:r>
      <w:r w:rsidRPr="001660AD">
        <w:rPr>
          <w:rFonts w:ascii="Arial" w:hAnsi="Arial" w:cs="Arial"/>
        </w:rPr>
        <w:t>To be elected by the Regional Board.</w:t>
      </w:r>
    </w:p>
    <w:p w:rsidR="003B5466" w:rsidRPr="001660AD" w:rsidRDefault="003B5466" w:rsidP="003B5466">
      <w:pPr>
        <w:pStyle w:val="ListParagraph"/>
        <w:tabs>
          <w:tab w:val="left" w:pos="1134"/>
        </w:tabs>
        <w:ind w:left="1569" w:hanging="850"/>
        <w:rPr>
          <w:rFonts w:ascii="Arial" w:hAnsi="Arial" w:cs="Arial"/>
        </w:rPr>
      </w:pPr>
    </w:p>
    <w:p w:rsidR="003B5466" w:rsidRPr="001660AD" w:rsidRDefault="003B5466" w:rsidP="003B5466">
      <w:pPr>
        <w:pStyle w:val="Heading3"/>
        <w:rPr>
          <w:rFonts w:ascii="Arial" w:hAnsi="Arial" w:cs="Arial"/>
          <w:szCs w:val="24"/>
        </w:rPr>
      </w:pPr>
    </w:p>
    <w:p w:rsidR="003B5466" w:rsidRPr="001660AD" w:rsidRDefault="003B5466" w:rsidP="003B5466">
      <w:pPr>
        <w:pStyle w:val="Heading3"/>
        <w:numPr>
          <w:ilvl w:val="0"/>
          <w:numId w:val="3"/>
        </w:numPr>
        <w:ind w:hanging="436"/>
        <w:rPr>
          <w:rFonts w:ascii="Arial" w:hAnsi="Arial" w:cs="Arial"/>
          <w:szCs w:val="24"/>
          <w:u w:val="none"/>
        </w:rPr>
      </w:pPr>
      <w:r w:rsidRPr="001660AD">
        <w:rPr>
          <w:rFonts w:ascii="Arial" w:hAnsi="Arial" w:cs="Arial"/>
          <w:szCs w:val="24"/>
          <w:u w:val="none"/>
        </w:rPr>
        <w:t>Terms of Reference</w:t>
      </w:r>
    </w:p>
    <w:p w:rsidR="003B5466" w:rsidRPr="001660AD" w:rsidRDefault="003B5466" w:rsidP="003B5466">
      <w:pPr>
        <w:ind w:left="709"/>
        <w:rPr>
          <w:rFonts w:ascii="Arial" w:hAnsi="Arial" w:cs="Arial"/>
        </w:rPr>
      </w:pPr>
    </w:p>
    <w:p w:rsidR="003B5466" w:rsidRPr="001660AD" w:rsidRDefault="003B5466" w:rsidP="003B5466">
      <w:pPr>
        <w:ind w:left="709"/>
        <w:rPr>
          <w:rFonts w:ascii="Arial" w:hAnsi="Arial" w:cs="Arial"/>
        </w:rPr>
      </w:pPr>
      <w:r w:rsidRPr="001660AD">
        <w:rPr>
          <w:rFonts w:ascii="Arial" w:hAnsi="Arial" w:cs="Arial"/>
        </w:rPr>
        <w:t>The Audit Committee provides assurance to the Board that the appropriate measures are in place for governance, internal control and risk management, and provides oversight of, and guidance on, such matters.</w:t>
      </w:r>
    </w:p>
    <w:p w:rsidR="003B5466" w:rsidRPr="001660AD" w:rsidRDefault="003B5466" w:rsidP="003B5466">
      <w:pPr>
        <w:ind w:left="709"/>
        <w:rPr>
          <w:rFonts w:ascii="Arial" w:hAnsi="Arial" w:cs="Arial"/>
        </w:rPr>
      </w:pPr>
    </w:p>
    <w:p w:rsidR="003B5466" w:rsidRPr="001660AD" w:rsidRDefault="003B5466" w:rsidP="003B5466">
      <w:pPr>
        <w:ind w:left="993" w:hanging="284"/>
        <w:rPr>
          <w:rFonts w:ascii="Arial" w:hAnsi="Arial" w:cs="Arial"/>
        </w:rPr>
      </w:pPr>
      <w:r w:rsidRPr="001660AD">
        <w:rPr>
          <w:rFonts w:ascii="Arial" w:hAnsi="Arial" w:cs="Arial"/>
        </w:rPr>
        <w:t>Key remit areas for the Audit Committee are:</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External Audit</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Internal Audit</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Annual Accounts and Auditor’s Management Letter</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Corporate Governance</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Risk Register, Risk Management and Business Continuity Plan</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Data Protection and Freedom of Information</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Cyber Security</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College Financial Regulations</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Register of Gifts</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Impropriety/Fraud</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Annual Report to the Regional Board</w:t>
      </w:r>
    </w:p>
    <w:p w:rsidR="003B5466" w:rsidRPr="001660AD" w:rsidRDefault="003B5466" w:rsidP="003B5466">
      <w:pPr>
        <w:pStyle w:val="ListParagraph"/>
        <w:numPr>
          <w:ilvl w:val="0"/>
          <w:numId w:val="2"/>
        </w:numPr>
        <w:ind w:left="993" w:hanging="284"/>
        <w:rPr>
          <w:rFonts w:ascii="Arial" w:hAnsi="Arial" w:cs="Arial"/>
        </w:rPr>
      </w:pPr>
      <w:r w:rsidRPr="001660AD">
        <w:rPr>
          <w:rFonts w:ascii="Arial" w:hAnsi="Arial" w:cs="Arial"/>
        </w:rPr>
        <w:t>Annual Review of Effectiveness</w:t>
      </w:r>
    </w:p>
    <w:p w:rsidR="003B5466" w:rsidRPr="001660AD" w:rsidRDefault="003B5466" w:rsidP="003B5466">
      <w:pPr>
        <w:pStyle w:val="ListParagraph"/>
        <w:ind w:left="709"/>
        <w:rPr>
          <w:rFonts w:ascii="Arial" w:hAnsi="Arial" w:cs="Arial"/>
        </w:rPr>
      </w:pPr>
    </w:p>
    <w:p w:rsidR="003B5466" w:rsidRPr="001660AD" w:rsidRDefault="003B5466" w:rsidP="003B5466">
      <w:pPr>
        <w:pStyle w:val="ListParagraph"/>
        <w:numPr>
          <w:ilvl w:val="1"/>
          <w:numId w:val="4"/>
        </w:numPr>
        <w:ind w:left="1276" w:hanging="567"/>
        <w:rPr>
          <w:rFonts w:ascii="Arial" w:hAnsi="Arial" w:cs="Arial"/>
        </w:rPr>
      </w:pPr>
      <w:r w:rsidRPr="001660AD">
        <w:rPr>
          <w:rFonts w:ascii="Arial" w:hAnsi="Arial" w:cs="Arial"/>
        </w:rPr>
        <w:t>To advise the Regional Board of the process for the appointment of the external auditor (currently appointed by Audit Scotland) its remuneration and of any issues relating to the role of the external auditor;</w:t>
      </w:r>
    </w:p>
    <w:p w:rsidR="003B5466" w:rsidRPr="001660AD" w:rsidRDefault="003B5466" w:rsidP="003B5466">
      <w:pPr>
        <w:pStyle w:val="ListParagraph"/>
        <w:rPr>
          <w:rFonts w:ascii="Arial" w:hAnsi="Arial" w:cs="Arial"/>
        </w:rPr>
      </w:pPr>
    </w:p>
    <w:p w:rsidR="003B5466" w:rsidRPr="001660AD" w:rsidRDefault="003B5466" w:rsidP="003B5466">
      <w:pPr>
        <w:pStyle w:val="ListParagraph"/>
        <w:numPr>
          <w:ilvl w:val="1"/>
          <w:numId w:val="4"/>
        </w:numPr>
        <w:ind w:left="1276" w:hanging="567"/>
        <w:rPr>
          <w:rFonts w:ascii="Arial" w:hAnsi="Arial" w:cs="Arial"/>
          <w:b/>
        </w:rPr>
      </w:pPr>
      <w:r w:rsidRPr="001660AD">
        <w:rPr>
          <w:rFonts w:ascii="Arial" w:hAnsi="Arial" w:cs="Arial"/>
        </w:rPr>
        <w:t>To consider and review the College’s Annual Accounts and Annual Report and the external auditor’s report prior to submitting to the Regional Board;</w:t>
      </w:r>
    </w:p>
    <w:p w:rsidR="003B5466" w:rsidRPr="001660AD" w:rsidRDefault="003B5466" w:rsidP="003B5466">
      <w:pPr>
        <w:pStyle w:val="ListParagraph"/>
        <w:rPr>
          <w:rFonts w:ascii="Arial" w:hAnsi="Arial" w:cs="Arial"/>
          <w:b/>
        </w:rPr>
      </w:pPr>
    </w:p>
    <w:p w:rsidR="003B5466" w:rsidRPr="001660AD" w:rsidRDefault="003B5466" w:rsidP="003B5466">
      <w:pPr>
        <w:pStyle w:val="ListParagraph"/>
        <w:numPr>
          <w:ilvl w:val="1"/>
          <w:numId w:val="4"/>
        </w:numPr>
        <w:ind w:left="1276" w:hanging="567"/>
        <w:rPr>
          <w:rFonts w:ascii="Arial" w:hAnsi="Arial" w:cs="Arial"/>
          <w:b/>
        </w:rPr>
      </w:pPr>
      <w:r w:rsidRPr="001660AD">
        <w:rPr>
          <w:rFonts w:ascii="Arial" w:hAnsi="Arial" w:cs="Arial"/>
        </w:rPr>
        <w:t>To review the external auditor’s Management letter and monitor Management’s response and to advise the Regional Board on relevant issues arising from the external auditor’s management letter, other external audit reports and College’s Management response;</w:t>
      </w:r>
    </w:p>
    <w:p w:rsidR="003B5466" w:rsidRPr="001660AD" w:rsidRDefault="003B5466" w:rsidP="003B5466">
      <w:pPr>
        <w:pStyle w:val="ListParagraph"/>
        <w:rPr>
          <w:rFonts w:ascii="Arial" w:hAnsi="Arial" w:cs="Arial"/>
          <w:b/>
        </w:rPr>
      </w:pPr>
    </w:p>
    <w:p w:rsidR="003B5466" w:rsidRPr="001660AD" w:rsidRDefault="003B5466" w:rsidP="003B5466">
      <w:pPr>
        <w:pStyle w:val="ListParagraph"/>
        <w:numPr>
          <w:ilvl w:val="1"/>
          <w:numId w:val="4"/>
        </w:numPr>
        <w:ind w:left="1276" w:hanging="567"/>
        <w:rPr>
          <w:rFonts w:ascii="Arial" w:hAnsi="Arial" w:cs="Arial"/>
        </w:rPr>
      </w:pPr>
      <w:r w:rsidRPr="001660AD">
        <w:rPr>
          <w:rFonts w:ascii="Arial" w:hAnsi="Arial" w:cs="Arial"/>
        </w:rPr>
        <w:t>To make a recommendation to the Regional Board on the appointment, reappointment, remuneration or removal of the internal auditors;</w:t>
      </w:r>
    </w:p>
    <w:p w:rsidR="003B5466" w:rsidRPr="001660AD" w:rsidRDefault="003B5466" w:rsidP="003B5466">
      <w:pPr>
        <w:pStyle w:val="ListParagraph"/>
        <w:rPr>
          <w:rFonts w:ascii="Arial" w:hAnsi="Arial" w:cs="Arial"/>
        </w:rPr>
      </w:pPr>
    </w:p>
    <w:p w:rsidR="003B5466" w:rsidRPr="001660AD" w:rsidRDefault="003B5466" w:rsidP="003B5466">
      <w:pPr>
        <w:pStyle w:val="ListParagraph"/>
        <w:numPr>
          <w:ilvl w:val="1"/>
          <w:numId w:val="4"/>
        </w:numPr>
        <w:ind w:left="1276" w:hanging="567"/>
        <w:rPr>
          <w:rFonts w:ascii="Arial" w:hAnsi="Arial" w:cs="Arial"/>
          <w:b/>
        </w:rPr>
      </w:pPr>
      <w:r w:rsidRPr="001660AD">
        <w:rPr>
          <w:rFonts w:ascii="Arial" w:hAnsi="Arial" w:cs="Arial"/>
        </w:rPr>
        <w:t>To review the scope, efficiency and effectiveness of the work of internal audit and advise the Regional Board;</w:t>
      </w:r>
    </w:p>
    <w:p w:rsidR="003B5466" w:rsidRPr="001660AD" w:rsidRDefault="003B5466" w:rsidP="003B5466">
      <w:pPr>
        <w:pStyle w:val="ListParagraph"/>
        <w:rPr>
          <w:rFonts w:ascii="Arial" w:hAnsi="Arial" w:cs="Arial"/>
          <w:b/>
        </w:rPr>
      </w:pPr>
    </w:p>
    <w:p w:rsidR="003B5466" w:rsidRPr="001660AD" w:rsidRDefault="003B5466" w:rsidP="003B5466">
      <w:pPr>
        <w:pStyle w:val="ListParagraph"/>
        <w:numPr>
          <w:ilvl w:val="1"/>
          <w:numId w:val="4"/>
        </w:numPr>
        <w:ind w:left="1276" w:hanging="567"/>
        <w:rPr>
          <w:rFonts w:ascii="Arial" w:hAnsi="Arial" w:cs="Arial"/>
          <w:b/>
        </w:rPr>
      </w:pPr>
      <w:r w:rsidRPr="001660AD">
        <w:rPr>
          <w:rFonts w:ascii="Arial" w:hAnsi="Arial" w:cs="Arial"/>
        </w:rPr>
        <w:t>To advise the Regional Board on relevant issues arising from the Audit Committee’s consideration of internal audit, progress reports, annual reports and College Management’s response;</w:t>
      </w:r>
    </w:p>
    <w:p w:rsidR="003B5466" w:rsidRPr="001660AD" w:rsidRDefault="003B5466" w:rsidP="003B5466">
      <w:pPr>
        <w:pStyle w:val="ListParagraph"/>
        <w:rPr>
          <w:rFonts w:ascii="Arial" w:hAnsi="Arial" w:cs="Arial"/>
          <w:b/>
        </w:rPr>
      </w:pPr>
    </w:p>
    <w:p w:rsidR="003B5466" w:rsidRPr="001660AD" w:rsidRDefault="003B5466" w:rsidP="003B5466">
      <w:pPr>
        <w:pStyle w:val="ListParagraph"/>
        <w:numPr>
          <w:ilvl w:val="1"/>
          <w:numId w:val="4"/>
        </w:numPr>
        <w:ind w:left="1276" w:hanging="567"/>
        <w:rPr>
          <w:rFonts w:ascii="Arial" w:hAnsi="Arial" w:cs="Arial"/>
        </w:rPr>
      </w:pPr>
      <w:r w:rsidRPr="001660AD">
        <w:rPr>
          <w:rFonts w:ascii="Arial" w:hAnsi="Arial" w:cs="Arial"/>
        </w:rPr>
        <w:t>To review the processes and advise the Regional Board on the internal and external auditor’s assessment of the College’s financial and other internal control systems;</w:t>
      </w:r>
    </w:p>
    <w:p w:rsidR="003B5466" w:rsidRPr="001660AD" w:rsidRDefault="003B5466" w:rsidP="003B5466">
      <w:pPr>
        <w:pStyle w:val="ListParagraph"/>
        <w:rPr>
          <w:rFonts w:ascii="Arial" w:hAnsi="Arial" w:cs="Arial"/>
        </w:rPr>
      </w:pPr>
    </w:p>
    <w:p w:rsidR="003B5466" w:rsidRPr="001660AD" w:rsidRDefault="003B5466" w:rsidP="003B5466">
      <w:pPr>
        <w:pStyle w:val="ListParagraph"/>
        <w:numPr>
          <w:ilvl w:val="1"/>
          <w:numId w:val="4"/>
        </w:numPr>
        <w:ind w:left="1276" w:hanging="567"/>
        <w:rPr>
          <w:rFonts w:ascii="Arial" w:hAnsi="Arial" w:cs="Arial"/>
        </w:rPr>
      </w:pPr>
      <w:r w:rsidRPr="001660AD">
        <w:rPr>
          <w:rFonts w:ascii="Arial" w:hAnsi="Arial" w:cs="Arial"/>
        </w:rPr>
        <w:t>To promptly pursue recommendations arising from audit reports and monitor their implementation;</w:t>
      </w:r>
    </w:p>
    <w:p w:rsidR="003B5466" w:rsidRPr="001660AD" w:rsidRDefault="003B5466" w:rsidP="003B5466">
      <w:pPr>
        <w:pStyle w:val="ListParagraph"/>
        <w:rPr>
          <w:rFonts w:ascii="Arial" w:hAnsi="Arial" w:cs="Arial"/>
        </w:rPr>
      </w:pPr>
    </w:p>
    <w:p w:rsidR="003B5466" w:rsidRPr="001660AD" w:rsidRDefault="003B5466" w:rsidP="003B5466">
      <w:pPr>
        <w:pStyle w:val="ListParagraph"/>
        <w:numPr>
          <w:ilvl w:val="1"/>
          <w:numId w:val="4"/>
        </w:numPr>
        <w:tabs>
          <w:tab w:val="left" w:pos="1276"/>
          <w:tab w:val="left" w:pos="1701"/>
        </w:tabs>
        <w:ind w:left="1276" w:hanging="567"/>
        <w:rPr>
          <w:rFonts w:ascii="Arial" w:hAnsi="Arial" w:cs="Arial"/>
        </w:rPr>
      </w:pPr>
      <w:r w:rsidRPr="001660AD">
        <w:rPr>
          <w:rFonts w:ascii="Arial" w:hAnsi="Arial" w:cs="Arial"/>
        </w:rPr>
        <w:t>To monitor and ensure the effectiveness of the College Strategic Risk Register, the Risk Management Framework and the College approach to risk assessment and risk appetite, undertaking reviews as appropriate, and to oversee and approve revisions of, and amendments to, the College Business Continuity Plan;</w:t>
      </w:r>
    </w:p>
    <w:p w:rsidR="003B5466" w:rsidRPr="001660AD" w:rsidRDefault="003B5466" w:rsidP="003B5466">
      <w:pPr>
        <w:pStyle w:val="ListParagraph"/>
        <w:ind w:left="1276"/>
        <w:rPr>
          <w:rFonts w:ascii="Arial" w:hAnsi="Arial" w:cs="Arial"/>
        </w:rPr>
      </w:pPr>
    </w:p>
    <w:p w:rsidR="003B5466" w:rsidRPr="001660AD" w:rsidRDefault="003B5466" w:rsidP="003B5466">
      <w:pPr>
        <w:pStyle w:val="ListParagraph"/>
        <w:numPr>
          <w:ilvl w:val="1"/>
          <w:numId w:val="4"/>
        </w:numPr>
        <w:tabs>
          <w:tab w:val="left" w:pos="1134"/>
          <w:tab w:val="left" w:pos="1701"/>
        </w:tabs>
        <w:ind w:left="1276" w:hanging="567"/>
        <w:rPr>
          <w:rFonts w:ascii="Arial" w:hAnsi="Arial" w:cs="Arial"/>
        </w:rPr>
      </w:pPr>
      <w:r w:rsidRPr="001660AD">
        <w:rPr>
          <w:rFonts w:ascii="Arial" w:hAnsi="Arial" w:cs="Arial"/>
        </w:rPr>
        <w:t>To oversee, and be assured that, all legislation and guidelines are being adhered to and followed with reference to Data Protection (DP) and Freedom of Information (</w:t>
      </w:r>
      <w:proofErr w:type="spellStart"/>
      <w:r w:rsidRPr="001660AD">
        <w:rPr>
          <w:rFonts w:ascii="Arial" w:hAnsi="Arial" w:cs="Arial"/>
        </w:rPr>
        <w:t>FoI</w:t>
      </w:r>
      <w:proofErr w:type="spellEnd"/>
      <w:r w:rsidRPr="001660AD">
        <w:rPr>
          <w:rFonts w:ascii="Arial" w:hAnsi="Arial" w:cs="Arial"/>
        </w:rPr>
        <w:t>) Requests;</w:t>
      </w:r>
    </w:p>
    <w:p w:rsidR="003B5466" w:rsidRPr="001660AD" w:rsidRDefault="003B5466" w:rsidP="003B5466">
      <w:pPr>
        <w:pStyle w:val="ListParagraph"/>
        <w:rPr>
          <w:rFonts w:ascii="Arial" w:hAnsi="Arial" w:cs="Arial"/>
        </w:rPr>
      </w:pPr>
    </w:p>
    <w:p w:rsidR="003B5466" w:rsidRPr="001660AD" w:rsidRDefault="003B5466" w:rsidP="003B5466">
      <w:pPr>
        <w:pStyle w:val="ListParagraph"/>
        <w:numPr>
          <w:ilvl w:val="1"/>
          <w:numId w:val="4"/>
        </w:numPr>
        <w:ind w:left="1276" w:hanging="567"/>
        <w:rPr>
          <w:rFonts w:ascii="Arial" w:hAnsi="Arial" w:cs="Arial"/>
        </w:rPr>
      </w:pPr>
      <w:r w:rsidRPr="001660AD">
        <w:rPr>
          <w:rFonts w:ascii="Arial" w:hAnsi="Arial" w:cs="Arial"/>
        </w:rPr>
        <w:t xml:space="preserve">To ensure the College has relevant and suitable procedures in place around cyber security, and be assured that the College is taking appropriate action where necessary; </w:t>
      </w:r>
    </w:p>
    <w:p w:rsidR="003B5466" w:rsidRPr="001660AD" w:rsidRDefault="003B5466" w:rsidP="003B5466">
      <w:pPr>
        <w:pStyle w:val="ListParagraph"/>
        <w:rPr>
          <w:rFonts w:ascii="Arial" w:hAnsi="Arial" w:cs="Arial"/>
        </w:rPr>
      </w:pPr>
    </w:p>
    <w:p w:rsidR="003B5466" w:rsidRPr="001660AD" w:rsidRDefault="003B5466" w:rsidP="003B5466">
      <w:pPr>
        <w:pStyle w:val="ListParagraph"/>
        <w:numPr>
          <w:ilvl w:val="1"/>
          <w:numId w:val="4"/>
        </w:numPr>
        <w:tabs>
          <w:tab w:val="left" w:pos="1134"/>
        </w:tabs>
        <w:ind w:left="1276" w:hanging="567"/>
        <w:rPr>
          <w:rFonts w:ascii="Arial" w:hAnsi="Arial" w:cs="Arial"/>
          <w:b/>
        </w:rPr>
      </w:pPr>
      <w:r w:rsidRPr="001660AD">
        <w:rPr>
          <w:rFonts w:ascii="Arial" w:hAnsi="Arial" w:cs="Arial"/>
        </w:rPr>
        <w:t>To approve changes and amendments to the College Financial Regulations and to provide assurance that the Regulations are being adhered to;</w:t>
      </w:r>
    </w:p>
    <w:p w:rsidR="003B5466" w:rsidRPr="001660AD" w:rsidRDefault="003B5466" w:rsidP="003B5466">
      <w:pPr>
        <w:pStyle w:val="ListParagraph"/>
        <w:rPr>
          <w:rFonts w:ascii="Arial" w:hAnsi="Arial" w:cs="Arial"/>
          <w:b/>
          <w:highlight w:val="yellow"/>
        </w:rPr>
      </w:pPr>
    </w:p>
    <w:p w:rsidR="003B5466" w:rsidRPr="001660AD" w:rsidRDefault="003B5466" w:rsidP="003B5466">
      <w:pPr>
        <w:pStyle w:val="ListParagraph"/>
        <w:numPr>
          <w:ilvl w:val="1"/>
          <w:numId w:val="4"/>
        </w:numPr>
        <w:tabs>
          <w:tab w:val="left" w:pos="1134"/>
          <w:tab w:val="left" w:pos="1701"/>
        </w:tabs>
        <w:ind w:left="1276" w:hanging="567"/>
        <w:rPr>
          <w:rFonts w:ascii="Arial" w:hAnsi="Arial" w:cs="Arial"/>
        </w:rPr>
      </w:pPr>
      <w:r w:rsidRPr="001660AD">
        <w:rPr>
          <w:rFonts w:ascii="Arial" w:hAnsi="Arial" w:cs="Arial"/>
        </w:rPr>
        <w:t>To note any updates of the Register of Gifts;</w:t>
      </w:r>
    </w:p>
    <w:p w:rsidR="003B5466" w:rsidRPr="001660AD" w:rsidRDefault="003B5466" w:rsidP="003B5466">
      <w:pPr>
        <w:pStyle w:val="ListParagraph"/>
        <w:ind w:left="1276" w:hanging="567"/>
        <w:rPr>
          <w:rFonts w:ascii="Arial" w:hAnsi="Arial" w:cs="Arial"/>
        </w:rPr>
      </w:pPr>
    </w:p>
    <w:p w:rsidR="003B5466" w:rsidRPr="001660AD" w:rsidRDefault="003B5466" w:rsidP="003B5466">
      <w:pPr>
        <w:pStyle w:val="ListParagraph"/>
        <w:numPr>
          <w:ilvl w:val="1"/>
          <w:numId w:val="4"/>
        </w:numPr>
        <w:tabs>
          <w:tab w:val="left" w:pos="1134"/>
          <w:tab w:val="left" w:pos="1985"/>
        </w:tabs>
        <w:ind w:left="1276" w:hanging="567"/>
        <w:rPr>
          <w:rFonts w:ascii="Arial" w:hAnsi="Arial" w:cs="Arial"/>
          <w:b/>
        </w:rPr>
      </w:pPr>
      <w:r w:rsidRPr="001660AD">
        <w:rPr>
          <w:rFonts w:ascii="Arial" w:hAnsi="Arial" w:cs="Arial"/>
        </w:rPr>
        <w:t>To respond appropriately to any notification to the Audit Committee of fraud or other improprieties and to review previously reported cases of impropriety to establish whether they have been handled appropriately;</w:t>
      </w:r>
    </w:p>
    <w:p w:rsidR="003B5466" w:rsidRPr="001660AD" w:rsidRDefault="003B5466" w:rsidP="003B5466">
      <w:pPr>
        <w:pStyle w:val="ListParagraph"/>
        <w:ind w:left="1276" w:hanging="567"/>
        <w:rPr>
          <w:rFonts w:ascii="Arial" w:hAnsi="Arial" w:cs="Arial"/>
          <w:b/>
        </w:rPr>
      </w:pPr>
    </w:p>
    <w:p w:rsidR="003B5466" w:rsidRPr="001660AD" w:rsidRDefault="003B5466" w:rsidP="003B5466">
      <w:pPr>
        <w:pStyle w:val="ListParagraph"/>
        <w:numPr>
          <w:ilvl w:val="1"/>
          <w:numId w:val="4"/>
        </w:numPr>
        <w:tabs>
          <w:tab w:val="left" w:pos="1134"/>
          <w:tab w:val="left" w:pos="1985"/>
        </w:tabs>
        <w:ind w:left="1276" w:hanging="567"/>
        <w:rPr>
          <w:rFonts w:ascii="Arial" w:hAnsi="Arial" w:cs="Arial"/>
          <w:b/>
        </w:rPr>
      </w:pPr>
      <w:r w:rsidRPr="001660AD">
        <w:rPr>
          <w:rFonts w:ascii="Arial" w:hAnsi="Arial" w:cs="Arial"/>
        </w:rPr>
        <w:t>To review and advise the Regional Board on compliance with corporate governance requirements and good practice guidance;</w:t>
      </w:r>
    </w:p>
    <w:p w:rsidR="003B5466" w:rsidRPr="001660AD" w:rsidRDefault="003B5466" w:rsidP="003B5466">
      <w:pPr>
        <w:pStyle w:val="ListParagraph"/>
        <w:ind w:left="1276" w:hanging="567"/>
        <w:rPr>
          <w:rFonts w:ascii="Arial" w:hAnsi="Arial" w:cs="Arial"/>
          <w:b/>
        </w:rPr>
      </w:pPr>
    </w:p>
    <w:p w:rsidR="003B5466" w:rsidRPr="001660AD" w:rsidRDefault="003B5466" w:rsidP="003B5466">
      <w:pPr>
        <w:pStyle w:val="ListParagraph"/>
        <w:numPr>
          <w:ilvl w:val="1"/>
          <w:numId w:val="4"/>
        </w:numPr>
        <w:tabs>
          <w:tab w:val="left" w:pos="1134"/>
        </w:tabs>
        <w:ind w:left="1276" w:hanging="567"/>
        <w:rPr>
          <w:rFonts w:ascii="Arial" w:hAnsi="Arial" w:cs="Arial"/>
          <w:b/>
        </w:rPr>
      </w:pPr>
      <w:r w:rsidRPr="001660AD">
        <w:rPr>
          <w:rFonts w:ascii="Arial" w:hAnsi="Arial" w:cs="Arial"/>
        </w:rPr>
        <w:t>In accordance with the Scottish Funding Council Code of Audit Practice, to submit an annual report to the Regional Board; and</w:t>
      </w:r>
    </w:p>
    <w:p w:rsidR="003B5466" w:rsidRPr="001660AD" w:rsidRDefault="003B5466" w:rsidP="003B5466">
      <w:pPr>
        <w:pStyle w:val="ListParagraph"/>
        <w:ind w:left="1276" w:hanging="567"/>
        <w:rPr>
          <w:rFonts w:ascii="Arial" w:hAnsi="Arial" w:cs="Arial"/>
          <w:b/>
        </w:rPr>
      </w:pPr>
    </w:p>
    <w:p w:rsidR="003B5466" w:rsidRPr="001660AD" w:rsidRDefault="003B5466" w:rsidP="003B5466">
      <w:pPr>
        <w:pStyle w:val="ListParagraph"/>
        <w:numPr>
          <w:ilvl w:val="1"/>
          <w:numId w:val="4"/>
        </w:numPr>
        <w:tabs>
          <w:tab w:val="left" w:pos="1134"/>
        </w:tabs>
        <w:ind w:left="1276" w:hanging="567"/>
        <w:rPr>
          <w:rFonts w:ascii="Arial" w:hAnsi="Arial" w:cs="Arial"/>
          <w:b/>
        </w:rPr>
      </w:pPr>
      <w:r w:rsidRPr="001660AD">
        <w:rPr>
          <w:rFonts w:ascii="Arial" w:hAnsi="Arial" w:cs="Arial"/>
        </w:rPr>
        <w:lastRenderedPageBreak/>
        <w:t>Annually review the Committee effectiveness and report the results of that review along with a Development and Improvement Plan.</w:t>
      </w:r>
    </w:p>
    <w:p w:rsidR="003B5466" w:rsidRPr="001660AD" w:rsidRDefault="003B5466" w:rsidP="003B5466">
      <w:pPr>
        <w:pStyle w:val="ListParagraph"/>
        <w:tabs>
          <w:tab w:val="left" w:pos="1134"/>
        </w:tabs>
        <w:ind w:left="928"/>
        <w:rPr>
          <w:rFonts w:ascii="Arial" w:hAnsi="Arial" w:cs="Arial"/>
          <w:b/>
        </w:rPr>
      </w:pPr>
    </w:p>
    <w:p w:rsidR="003B5466" w:rsidRPr="001660AD" w:rsidRDefault="003B5466" w:rsidP="003B5466">
      <w:pPr>
        <w:tabs>
          <w:tab w:val="left" w:pos="1134"/>
        </w:tabs>
        <w:rPr>
          <w:rFonts w:ascii="Arial" w:hAnsi="Arial" w:cs="Arial"/>
          <w:b/>
        </w:rPr>
      </w:pPr>
    </w:p>
    <w:p w:rsidR="003B5466" w:rsidRPr="001660AD" w:rsidRDefault="003B5466" w:rsidP="003B5466">
      <w:pPr>
        <w:pStyle w:val="ListParagraph"/>
        <w:numPr>
          <w:ilvl w:val="0"/>
          <w:numId w:val="3"/>
        </w:numPr>
        <w:ind w:left="709" w:hanging="425"/>
        <w:rPr>
          <w:rFonts w:ascii="Arial" w:hAnsi="Arial" w:cs="Arial"/>
          <w:b/>
        </w:rPr>
      </w:pPr>
      <w:r w:rsidRPr="001660AD">
        <w:rPr>
          <w:rFonts w:ascii="Arial" w:hAnsi="Arial" w:cs="Arial"/>
          <w:b/>
        </w:rPr>
        <w:t>Meetings</w:t>
      </w:r>
    </w:p>
    <w:p w:rsidR="003B5466" w:rsidRPr="001660AD" w:rsidRDefault="003B5466" w:rsidP="003B5466">
      <w:pPr>
        <w:pStyle w:val="ListParagraph"/>
        <w:tabs>
          <w:tab w:val="left" w:pos="426"/>
          <w:tab w:val="left" w:pos="1276"/>
          <w:tab w:val="left" w:pos="1560"/>
        </w:tabs>
        <w:ind w:left="1276" w:hanging="567"/>
        <w:rPr>
          <w:rFonts w:ascii="Arial" w:hAnsi="Arial" w:cs="Arial"/>
          <w:b/>
        </w:rPr>
      </w:pPr>
      <w:r w:rsidRPr="001660AD">
        <w:rPr>
          <w:rFonts w:ascii="Arial" w:hAnsi="Arial" w:cs="Arial"/>
          <w:b/>
        </w:rPr>
        <w:tab/>
      </w:r>
    </w:p>
    <w:p w:rsidR="003B5466" w:rsidRPr="001660AD" w:rsidRDefault="003B5466" w:rsidP="003B5466">
      <w:pPr>
        <w:pStyle w:val="Heading3"/>
        <w:tabs>
          <w:tab w:val="left" w:pos="1276"/>
        </w:tabs>
        <w:ind w:left="1276" w:hanging="567"/>
        <w:jc w:val="left"/>
        <w:rPr>
          <w:rFonts w:ascii="Arial" w:hAnsi="Arial" w:cs="Arial"/>
          <w:b w:val="0"/>
          <w:szCs w:val="24"/>
          <w:u w:val="none"/>
        </w:rPr>
      </w:pPr>
      <w:r w:rsidRPr="001660AD">
        <w:rPr>
          <w:rFonts w:ascii="Arial" w:hAnsi="Arial" w:cs="Arial"/>
          <w:szCs w:val="24"/>
          <w:u w:val="none"/>
        </w:rPr>
        <w:t>3.1</w:t>
      </w:r>
      <w:r w:rsidRPr="001660AD">
        <w:rPr>
          <w:rFonts w:ascii="Arial" w:hAnsi="Arial" w:cs="Arial"/>
          <w:szCs w:val="24"/>
          <w:u w:val="none"/>
        </w:rPr>
        <w:tab/>
      </w:r>
      <w:r w:rsidRPr="001660AD">
        <w:rPr>
          <w:rFonts w:ascii="Arial" w:hAnsi="Arial" w:cs="Arial"/>
          <w:b w:val="0"/>
          <w:szCs w:val="24"/>
          <w:u w:val="none"/>
        </w:rPr>
        <w:t>The Committee shall meet four times a year;</w:t>
      </w:r>
    </w:p>
    <w:p w:rsidR="003B5466" w:rsidRPr="001660AD" w:rsidRDefault="003B5466" w:rsidP="003B5466">
      <w:pPr>
        <w:tabs>
          <w:tab w:val="left" w:pos="1276"/>
        </w:tabs>
        <w:ind w:left="1276" w:hanging="567"/>
        <w:rPr>
          <w:rFonts w:ascii="Arial" w:hAnsi="Arial" w:cs="Arial"/>
        </w:rPr>
      </w:pPr>
    </w:p>
    <w:p w:rsidR="003B5466" w:rsidRPr="001660AD" w:rsidRDefault="003B5466" w:rsidP="003B5466">
      <w:pPr>
        <w:tabs>
          <w:tab w:val="left" w:pos="1276"/>
        </w:tabs>
        <w:ind w:left="1276" w:hanging="567"/>
        <w:rPr>
          <w:rFonts w:ascii="Arial" w:hAnsi="Arial" w:cs="Arial"/>
        </w:rPr>
      </w:pPr>
      <w:r w:rsidRPr="001660AD">
        <w:rPr>
          <w:rFonts w:ascii="Arial" w:hAnsi="Arial" w:cs="Arial"/>
          <w:b/>
        </w:rPr>
        <w:t>3.2</w:t>
      </w:r>
      <w:r w:rsidRPr="001660AD">
        <w:rPr>
          <w:rFonts w:ascii="Arial" w:hAnsi="Arial" w:cs="Arial"/>
          <w:b/>
        </w:rPr>
        <w:tab/>
      </w:r>
      <w:r w:rsidRPr="001660AD">
        <w:rPr>
          <w:rFonts w:ascii="Arial" w:hAnsi="Arial" w:cs="Arial"/>
        </w:rPr>
        <w:t>The Committee shall sit privately without any non-members present for all or part of a meeting if they so decide; and</w:t>
      </w:r>
    </w:p>
    <w:p w:rsidR="003B5466" w:rsidRPr="001660AD" w:rsidRDefault="003B5466" w:rsidP="003B5466">
      <w:pPr>
        <w:tabs>
          <w:tab w:val="left" w:pos="1276"/>
        </w:tabs>
        <w:ind w:left="1276" w:hanging="567"/>
        <w:rPr>
          <w:rFonts w:ascii="Arial" w:hAnsi="Arial" w:cs="Arial"/>
        </w:rPr>
      </w:pPr>
    </w:p>
    <w:p w:rsidR="003B5466" w:rsidRDefault="003B5466" w:rsidP="003B5466">
      <w:pPr>
        <w:tabs>
          <w:tab w:val="left" w:pos="1276"/>
        </w:tabs>
        <w:ind w:left="1276" w:hanging="567"/>
        <w:rPr>
          <w:rFonts w:ascii="Arial" w:hAnsi="Arial" w:cs="Arial"/>
        </w:rPr>
      </w:pPr>
      <w:r w:rsidRPr="001660AD">
        <w:rPr>
          <w:rFonts w:ascii="Arial" w:hAnsi="Arial" w:cs="Arial"/>
          <w:b/>
        </w:rPr>
        <w:t>3.3</w:t>
      </w:r>
      <w:r w:rsidRPr="001660AD">
        <w:rPr>
          <w:rFonts w:ascii="Arial" w:hAnsi="Arial" w:cs="Arial"/>
          <w:b/>
        </w:rPr>
        <w:tab/>
      </w:r>
      <w:r w:rsidRPr="001660AD">
        <w:rPr>
          <w:rFonts w:ascii="Arial" w:hAnsi="Arial" w:cs="Arial"/>
        </w:rPr>
        <w:t>The members of the Audit Committee should meet with the internal and external auditors without the Executive team present at least annually.</w:t>
      </w:r>
    </w:p>
    <w:p w:rsidR="00DB4D91" w:rsidRPr="001660AD" w:rsidRDefault="00DB4D91" w:rsidP="003B5466">
      <w:pPr>
        <w:tabs>
          <w:tab w:val="left" w:pos="1276"/>
        </w:tabs>
        <w:ind w:left="1276" w:hanging="567"/>
        <w:rPr>
          <w:rFonts w:ascii="Arial" w:hAnsi="Arial" w:cs="Arial"/>
        </w:rPr>
      </w:pPr>
      <w:bookmarkStart w:id="0" w:name="_GoBack"/>
      <w:bookmarkEnd w:id="0"/>
    </w:p>
    <w:p w:rsidR="003B5466" w:rsidRPr="001660AD" w:rsidRDefault="003B5466" w:rsidP="003B5466">
      <w:pPr>
        <w:rPr>
          <w:rFonts w:ascii="Arial" w:hAnsi="Arial" w:cs="Arial"/>
        </w:rPr>
      </w:pPr>
    </w:p>
    <w:p w:rsidR="003B5466" w:rsidRPr="001660AD" w:rsidRDefault="003B5466" w:rsidP="003B5466">
      <w:pPr>
        <w:pStyle w:val="ListParagraph"/>
        <w:numPr>
          <w:ilvl w:val="0"/>
          <w:numId w:val="3"/>
        </w:numPr>
        <w:tabs>
          <w:tab w:val="left" w:pos="1134"/>
        </w:tabs>
        <w:ind w:hanging="436"/>
        <w:rPr>
          <w:rFonts w:ascii="Arial" w:hAnsi="Arial" w:cs="Arial"/>
          <w:b/>
        </w:rPr>
      </w:pPr>
      <w:r w:rsidRPr="001660AD">
        <w:rPr>
          <w:rFonts w:ascii="Arial" w:hAnsi="Arial" w:cs="Arial"/>
          <w:b/>
        </w:rPr>
        <w:t>Reporting</w:t>
      </w:r>
    </w:p>
    <w:p w:rsidR="003B5466" w:rsidRPr="001660AD" w:rsidRDefault="003B5466" w:rsidP="003B5466">
      <w:pPr>
        <w:pStyle w:val="ListParagraph"/>
        <w:tabs>
          <w:tab w:val="left" w:pos="1134"/>
        </w:tabs>
        <w:rPr>
          <w:rFonts w:ascii="Arial" w:hAnsi="Arial" w:cs="Arial"/>
          <w:b/>
        </w:rPr>
      </w:pPr>
    </w:p>
    <w:p w:rsidR="003B5466" w:rsidRPr="001660AD" w:rsidRDefault="003B5466" w:rsidP="003B5466">
      <w:pPr>
        <w:tabs>
          <w:tab w:val="left" w:pos="1134"/>
        </w:tabs>
        <w:ind w:left="1134"/>
        <w:rPr>
          <w:rFonts w:ascii="Arial" w:hAnsi="Arial" w:cs="Arial"/>
        </w:rPr>
      </w:pPr>
      <w:r w:rsidRPr="001660AD">
        <w:rPr>
          <w:rFonts w:ascii="Arial" w:hAnsi="Arial" w:cs="Arial"/>
        </w:rPr>
        <w:t xml:space="preserve">All Members of the Regional Board shall receive a copy of the minutes of each meeting and the Chair of the Committee shall make a report at the following Regional Board meeting.  </w:t>
      </w:r>
    </w:p>
    <w:p w:rsidR="003B5466" w:rsidRPr="001660AD" w:rsidRDefault="003B5466" w:rsidP="003B5466">
      <w:pPr>
        <w:tabs>
          <w:tab w:val="left" w:pos="1134"/>
        </w:tabs>
        <w:rPr>
          <w:rFonts w:ascii="Arial" w:hAnsi="Arial" w:cs="Arial"/>
        </w:rPr>
      </w:pPr>
    </w:p>
    <w:p w:rsidR="003B5466" w:rsidRPr="001660AD" w:rsidRDefault="003B5466" w:rsidP="003B5466">
      <w:pPr>
        <w:tabs>
          <w:tab w:val="left" w:pos="1134"/>
        </w:tabs>
        <w:rPr>
          <w:rFonts w:ascii="Arial" w:hAnsi="Arial" w:cs="Arial"/>
        </w:rPr>
      </w:pPr>
    </w:p>
    <w:p w:rsidR="003B5466" w:rsidRPr="001660AD" w:rsidRDefault="003B5466" w:rsidP="003B5466">
      <w:pPr>
        <w:tabs>
          <w:tab w:val="left" w:pos="1134"/>
        </w:tabs>
        <w:rPr>
          <w:rFonts w:ascii="Arial" w:hAnsi="Arial" w:cs="Arial"/>
        </w:rPr>
      </w:pPr>
    </w:p>
    <w:p w:rsidR="003B5466" w:rsidRPr="001660AD" w:rsidRDefault="003B5466" w:rsidP="003B5466">
      <w:pPr>
        <w:tabs>
          <w:tab w:val="left" w:pos="1134"/>
        </w:tabs>
        <w:rPr>
          <w:rFonts w:ascii="Arial" w:hAnsi="Arial" w:cs="Arial"/>
        </w:rPr>
      </w:pPr>
      <w:r w:rsidRPr="001660AD">
        <w:rPr>
          <w:rFonts w:ascii="Arial" w:hAnsi="Arial" w:cs="Arial"/>
        </w:rPr>
        <w:t xml:space="preserve">Approved by the Board - </w:t>
      </w:r>
      <w:r>
        <w:rPr>
          <w:rFonts w:ascii="Arial" w:hAnsi="Arial" w:cs="Arial"/>
        </w:rPr>
        <w:t>1 Dec 2022</w:t>
      </w:r>
      <w:r w:rsidRPr="001660AD">
        <w:rPr>
          <w:rFonts w:ascii="Arial" w:hAnsi="Arial" w:cs="Arial"/>
        </w:rPr>
        <w:t xml:space="preserve">                        Date of next review </w:t>
      </w:r>
      <w:r>
        <w:rPr>
          <w:rFonts w:ascii="Arial" w:hAnsi="Arial" w:cs="Arial"/>
        </w:rPr>
        <w:t>–</w:t>
      </w:r>
      <w:r w:rsidRPr="001660AD">
        <w:rPr>
          <w:rFonts w:ascii="Arial" w:hAnsi="Arial" w:cs="Arial"/>
        </w:rPr>
        <w:t xml:space="preserve"> </w:t>
      </w:r>
      <w:r>
        <w:rPr>
          <w:rFonts w:ascii="Arial" w:hAnsi="Arial" w:cs="Arial"/>
        </w:rPr>
        <w:t>June 2023</w:t>
      </w:r>
    </w:p>
    <w:p w:rsidR="003B5466" w:rsidRPr="001660AD" w:rsidRDefault="003B5466" w:rsidP="003B5466">
      <w:pPr>
        <w:tabs>
          <w:tab w:val="left" w:pos="1134"/>
        </w:tabs>
        <w:rPr>
          <w:rFonts w:ascii="Arial" w:hAnsi="Arial" w:cs="Arial"/>
        </w:rPr>
      </w:pPr>
    </w:p>
    <w:p w:rsidR="003B5466" w:rsidRPr="001660AD" w:rsidRDefault="003B5466" w:rsidP="003B5466">
      <w:pPr>
        <w:tabs>
          <w:tab w:val="left" w:pos="1134"/>
        </w:tabs>
        <w:rPr>
          <w:rFonts w:ascii="Arial" w:hAnsi="Arial" w:cs="Arial"/>
        </w:rPr>
      </w:pPr>
    </w:p>
    <w:p w:rsidR="003B5466" w:rsidRPr="001660AD" w:rsidRDefault="003B5466" w:rsidP="003B5466">
      <w:pPr>
        <w:tabs>
          <w:tab w:val="left" w:pos="1134"/>
        </w:tabs>
        <w:rPr>
          <w:rFonts w:ascii="Arial" w:hAnsi="Arial" w:cs="Arial"/>
        </w:rPr>
      </w:pPr>
    </w:p>
    <w:p w:rsidR="003B5466" w:rsidRPr="001660AD" w:rsidRDefault="003B5466" w:rsidP="003B5466">
      <w:pPr>
        <w:tabs>
          <w:tab w:val="left" w:pos="1134"/>
        </w:tabs>
        <w:rPr>
          <w:rFonts w:ascii="Arial" w:hAnsi="Arial" w:cs="Arial"/>
        </w:rPr>
      </w:pPr>
    </w:p>
    <w:p w:rsidR="0022679D" w:rsidRDefault="0022679D"/>
    <w:sectPr w:rsidR="0022679D" w:rsidSect="00DB4D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02E"/>
    <w:multiLevelType w:val="hybridMultilevel"/>
    <w:tmpl w:val="4E9C3B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E2AF2"/>
    <w:multiLevelType w:val="hybridMultilevel"/>
    <w:tmpl w:val="78EA22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D0D6926"/>
    <w:multiLevelType w:val="multilevel"/>
    <w:tmpl w:val="2DC69478"/>
    <w:lvl w:ilvl="0">
      <w:start w:val="1"/>
      <w:numFmt w:val="decimal"/>
      <w:lvlText w:val="%1"/>
      <w:lvlJc w:val="left"/>
      <w:pPr>
        <w:ind w:left="720" w:hanging="360"/>
      </w:pPr>
      <w:rPr>
        <w:rFonts w:hint="default"/>
      </w:rPr>
    </w:lvl>
    <w:lvl w:ilvl="1">
      <w:start w:val="1"/>
      <w:numFmt w:val="decimal"/>
      <w:isLgl/>
      <w:lvlText w:val="%1.%2"/>
      <w:lvlJc w:val="left"/>
      <w:pPr>
        <w:ind w:left="4547" w:hanging="435"/>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402" w:hanging="72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310" w:hanging="1080"/>
      </w:pPr>
      <w:rPr>
        <w:rFonts w:hint="default"/>
        <w:b/>
      </w:rPr>
    </w:lvl>
    <w:lvl w:ilvl="6">
      <w:start w:val="1"/>
      <w:numFmt w:val="decimal"/>
      <w:isLgl/>
      <w:lvlText w:val="%1.%2.%3.%4.%5.%6.%7"/>
      <w:lvlJc w:val="left"/>
      <w:pPr>
        <w:ind w:left="6444" w:hanging="1440"/>
      </w:pPr>
      <w:rPr>
        <w:rFonts w:hint="default"/>
        <w:b/>
      </w:rPr>
    </w:lvl>
    <w:lvl w:ilvl="7">
      <w:start w:val="1"/>
      <w:numFmt w:val="decimal"/>
      <w:isLgl/>
      <w:lvlText w:val="%1.%2.%3.%4.%5.%6.%7.%8"/>
      <w:lvlJc w:val="left"/>
      <w:pPr>
        <w:ind w:left="7218" w:hanging="1440"/>
      </w:pPr>
      <w:rPr>
        <w:rFonts w:hint="default"/>
        <w:b/>
      </w:rPr>
    </w:lvl>
    <w:lvl w:ilvl="8">
      <w:start w:val="1"/>
      <w:numFmt w:val="decimal"/>
      <w:isLgl/>
      <w:lvlText w:val="%1.%2.%3.%4.%5.%6.%7.%8.%9"/>
      <w:lvlJc w:val="left"/>
      <w:pPr>
        <w:ind w:left="8352" w:hanging="1800"/>
      </w:pPr>
      <w:rPr>
        <w:rFonts w:hint="default"/>
        <w:b/>
      </w:rPr>
    </w:lvl>
  </w:abstractNum>
  <w:abstractNum w:abstractNumId="3" w15:restartNumberingAfterBreak="0">
    <w:nsid w:val="458C56DE"/>
    <w:multiLevelType w:val="multilevel"/>
    <w:tmpl w:val="690C5650"/>
    <w:lvl w:ilvl="0">
      <w:start w:val="2"/>
      <w:numFmt w:val="decimal"/>
      <w:lvlText w:val="%1"/>
      <w:lvlJc w:val="left"/>
      <w:pPr>
        <w:ind w:left="4755" w:hanging="360"/>
      </w:pPr>
      <w:rPr>
        <w:rFonts w:hint="default"/>
      </w:rPr>
    </w:lvl>
    <w:lvl w:ilvl="1">
      <w:start w:val="1"/>
      <w:numFmt w:val="decimal"/>
      <w:lvlText w:val="%1.%2"/>
      <w:lvlJc w:val="left"/>
      <w:pPr>
        <w:ind w:left="7732"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66"/>
    <w:rsid w:val="0022679D"/>
    <w:rsid w:val="003B5466"/>
    <w:rsid w:val="00DB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31AE"/>
  <w15:chartTrackingRefBased/>
  <w15:docId w15:val="{C079903E-54AC-4C00-8149-3FA78718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4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5466"/>
    <w:pPr>
      <w:keepNext/>
      <w:outlineLvl w:val="0"/>
    </w:pPr>
    <w:rPr>
      <w:b/>
      <w:szCs w:val="20"/>
      <w:u w:val="single"/>
    </w:rPr>
  </w:style>
  <w:style w:type="paragraph" w:styleId="Heading3">
    <w:name w:val="heading 3"/>
    <w:basedOn w:val="Normal"/>
    <w:next w:val="Normal"/>
    <w:link w:val="Heading3Char"/>
    <w:qFormat/>
    <w:rsid w:val="003B5466"/>
    <w:pPr>
      <w:keepNext/>
      <w:jc w:val="both"/>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46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B5466"/>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3B5466"/>
    <w:pPr>
      <w:ind w:left="720"/>
      <w:contextualSpacing/>
    </w:pPr>
  </w:style>
  <w:style w:type="paragraph" w:styleId="Title">
    <w:name w:val="Title"/>
    <w:basedOn w:val="Normal"/>
    <w:link w:val="TitleChar"/>
    <w:qFormat/>
    <w:rsid w:val="003B5466"/>
    <w:pPr>
      <w:jc w:val="center"/>
    </w:pPr>
    <w:rPr>
      <w:b/>
      <w:szCs w:val="20"/>
    </w:rPr>
  </w:style>
  <w:style w:type="character" w:customStyle="1" w:styleId="TitleChar">
    <w:name w:val="Title Char"/>
    <w:basedOn w:val="DefaultParagraphFont"/>
    <w:link w:val="Title"/>
    <w:rsid w:val="003B546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Earp</dc:creator>
  <cp:keywords/>
  <dc:description/>
  <cp:lastModifiedBy>Ingrid Earp</cp:lastModifiedBy>
  <cp:revision>2</cp:revision>
  <dcterms:created xsi:type="dcterms:W3CDTF">2022-12-12T10:56:00Z</dcterms:created>
  <dcterms:modified xsi:type="dcterms:W3CDTF">2022-12-12T10:56:00Z</dcterms:modified>
</cp:coreProperties>
</file>