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67E6" w:rsidRPr="001660AD" w:rsidRDefault="00C067E6" w:rsidP="00C067E6">
      <w:pPr>
        <w:pStyle w:val="Heading1"/>
        <w:ind w:left="1642" w:right="1600"/>
        <w:jc w:val="center"/>
        <w:rPr>
          <w:rFonts w:ascii="Arial" w:hAnsi="Arial" w:cs="Arial"/>
          <w:szCs w:val="24"/>
          <w:u w:val="none"/>
        </w:rPr>
      </w:pPr>
      <w:r w:rsidRPr="001660AD">
        <w:rPr>
          <w:rFonts w:ascii="Arial" w:hAnsi="Arial" w:cs="Arial"/>
          <w:noProof/>
          <w:szCs w:val="24"/>
          <w:u w:val="none"/>
          <w:lang w:eastAsia="en-GB"/>
        </w:rPr>
        <mc:AlternateContent>
          <mc:Choice Requires="wps">
            <w:drawing>
              <wp:anchor distT="0" distB="0" distL="114300" distR="114300" simplePos="0" relativeHeight="251659264" behindDoc="0" locked="0" layoutInCell="1" allowOverlap="1" wp14:anchorId="217EABFE" wp14:editId="1398E620">
                <wp:simplePos x="0" y="0"/>
                <wp:positionH relativeFrom="column">
                  <wp:posOffset>-253365</wp:posOffset>
                </wp:positionH>
                <wp:positionV relativeFrom="paragraph">
                  <wp:posOffset>-656590</wp:posOffset>
                </wp:positionV>
                <wp:extent cx="1038860" cy="271780"/>
                <wp:effectExtent l="3810" t="3810" r="0" b="63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860" cy="271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67E6" w:rsidRPr="00EA03A4" w:rsidRDefault="00C067E6" w:rsidP="00C067E6">
                            <w:pPr>
                              <w:pStyle w:val="BodyText"/>
                              <w:spacing w:before="8"/>
                              <w:rPr>
                                <w:sz w:val="24"/>
                                <w:szCs w:val="24"/>
                                <w:lang w:val="en-GB"/>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17EABFE" id="_x0000_t202" coordsize="21600,21600" o:spt="202" path="m,l,21600r21600,l21600,xe">
                <v:stroke joinstyle="miter"/>
                <v:path gradientshapeok="t" o:connecttype="rect"/>
              </v:shapetype>
              <v:shape id="Text Box 4" o:spid="_x0000_s1026" type="#_x0000_t202" style="position:absolute;left:0;text-align:left;margin-left:-19.95pt;margin-top:-51.7pt;width:81.8pt;height:2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" stroked="f">
                <v:textbox style="mso-fit-shape-to-text:t">
                  <w:txbxContent>
                    <w:p w:rsidR="00C067E6" w:rsidRPr="00EA03A4" w:rsidRDefault="00C067E6" w:rsidP="00C067E6">
                      <w:pPr>
                        <w:pStyle w:val="BodyText"/>
                        <w:spacing w:before="8"/>
                        <w:rPr>
                          <w:sz w:val="24"/>
                          <w:szCs w:val="24"/>
                          <w:lang w:val="en-GB"/>
                        </w:rPr>
                      </w:pPr>
                    </w:p>
                  </w:txbxContent>
                </v:textbox>
                <w10:wrap type="square"/>
              </v:shape>
            </w:pict>
          </mc:Fallback>
        </mc:AlternateContent>
      </w:r>
      <w:r w:rsidRPr="001660AD">
        <w:rPr>
          <w:rFonts w:ascii="Arial" w:hAnsi="Arial" w:cs="Arial"/>
          <w:szCs w:val="24"/>
          <w:u w:val="none"/>
        </w:rPr>
        <w:t>BORDERS COLLEGE</w:t>
      </w:r>
    </w:p>
    <w:p w:rsidR="00C067E6" w:rsidRPr="001660AD" w:rsidRDefault="00C067E6" w:rsidP="00C067E6">
      <w:pPr>
        <w:pStyle w:val="BodyText"/>
        <w:jc w:val="center"/>
        <w:rPr>
          <w:b/>
          <w:sz w:val="24"/>
          <w:szCs w:val="24"/>
        </w:rPr>
      </w:pPr>
    </w:p>
    <w:p w:rsidR="00C067E6" w:rsidRPr="001660AD" w:rsidRDefault="00C067E6" w:rsidP="00C067E6">
      <w:pPr>
        <w:spacing w:line="477" w:lineRule="auto"/>
        <w:ind w:left="1643" w:right="1600"/>
        <w:jc w:val="center"/>
        <w:rPr>
          <w:rFonts w:ascii="Arial" w:hAnsi="Arial" w:cs="Arial"/>
          <w:b/>
        </w:rPr>
      </w:pPr>
      <w:r w:rsidRPr="001660AD">
        <w:rPr>
          <w:rFonts w:ascii="Arial" w:hAnsi="Arial" w:cs="Arial"/>
          <w:b/>
        </w:rPr>
        <w:t xml:space="preserve">FINANCE &amp; RESOURCES COMMITTEE </w:t>
      </w:r>
    </w:p>
    <w:p w:rsidR="00C067E6" w:rsidRPr="001660AD" w:rsidRDefault="00C067E6" w:rsidP="00C067E6">
      <w:pPr>
        <w:spacing w:line="477" w:lineRule="auto"/>
        <w:ind w:left="1643" w:right="1600"/>
        <w:jc w:val="center"/>
        <w:rPr>
          <w:rFonts w:ascii="Arial" w:hAnsi="Arial" w:cs="Arial"/>
          <w:b/>
        </w:rPr>
      </w:pPr>
      <w:r w:rsidRPr="001660AD">
        <w:rPr>
          <w:rFonts w:ascii="Arial" w:hAnsi="Arial" w:cs="Arial"/>
          <w:b/>
        </w:rPr>
        <w:t>TERMS OF REFERENCE</w:t>
      </w:r>
    </w:p>
    <w:p w:rsidR="00C067E6" w:rsidRPr="001660AD" w:rsidRDefault="00C067E6" w:rsidP="00C067E6">
      <w:pPr>
        <w:pStyle w:val="BodyText"/>
        <w:rPr>
          <w:b/>
          <w:sz w:val="24"/>
          <w:szCs w:val="24"/>
        </w:rPr>
      </w:pPr>
    </w:p>
    <w:p w:rsidR="00C067E6" w:rsidRPr="001660AD" w:rsidRDefault="00C067E6" w:rsidP="00C067E6">
      <w:pPr>
        <w:pStyle w:val="ListParagraph"/>
        <w:widowControl w:val="0"/>
        <w:numPr>
          <w:ilvl w:val="0"/>
          <w:numId w:val="3"/>
        </w:numPr>
        <w:tabs>
          <w:tab w:val="left" w:pos="686"/>
          <w:tab w:val="left" w:pos="687"/>
        </w:tabs>
        <w:autoSpaceDE w:val="0"/>
        <w:autoSpaceDN w:val="0"/>
        <w:ind w:left="709" w:hanging="425"/>
        <w:contextualSpacing w:val="0"/>
        <w:rPr>
          <w:rFonts w:ascii="Arial" w:hAnsi="Arial" w:cs="Arial"/>
          <w:b/>
        </w:rPr>
      </w:pPr>
      <w:r w:rsidRPr="001660AD">
        <w:rPr>
          <w:rFonts w:ascii="Arial" w:hAnsi="Arial" w:cs="Arial"/>
          <w:b/>
        </w:rPr>
        <w:t>Constitution</w:t>
      </w:r>
    </w:p>
    <w:p w:rsidR="00C067E6" w:rsidRPr="001660AD" w:rsidRDefault="00C067E6" w:rsidP="00C067E6">
      <w:pPr>
        <w:pStyle w:val="BodyText"/>
        <w:rPr>
          <w:b/>
          <w:sz w:val="24"/>
          <w:szCs w:val="24"/>
        </w:rPr>
      </w:pPr>
    </w:p>
    <w:p w:rsidR="00C067E6" w:rsidRPr="001660AD" w:rsidRDefault="00C067E6" w:rsidP="00C067E6">
      <w:pPr>
        <w:pStyle w:val="BodyText"/>
        <w:ind w:left="709" w:right="368"/>
        <w:rPr>
          <w:sz w:val="24"/>
          <w:szCs w:val="24"/>
        </w:rPr>
      </w:pPr>
      <w:r w:rsidRPr="001660AD">
        <w:rPr>
          <w:sz w:val="24"/>
          <w:szCs w:val="24"/>
        </w:rPr>
        <w:t xml:space="preserve">A minimum of six members comprising the Board Chair, Principal and a minimum of four other Members of the Board. No member of this Committee may serve concurrently on the Audit Committee. The Vice Principal Finance and Corporate Services should be in attendance. </w:t>
      </w:r>
    </w:p>
    <w:p w:rsidR="00C067E6" w:rsidRPr="001660AD" w:rsidRDefault="00C067E6" w:rsidP="00C067E6">
      <w:pPr>
        <w:pStyle w:val="BodyText"/>
        <w:rPr>
          <w:sz w:val="24"/>
          <w:szCs w:val="24"/>
        </w:rPr>
      </w:pPr>
    </w:p>
    <w:p w:rsidR="00C067E6" w:rsidRPr="001660AD" w:rsidRDefault="00C067E6" w:rsidP="00C067E6">
      <w:pPr>
        <w:pStyle w:val="ListParagraph"/>
        <w:widowControl w:val="0"/>
        <w:numPr>
          <w:ilvl w:val="1"/>
          <w:numId w:val="1"/>
        </w:numPr>
        <w:tabs>
          <w:tab w:val="left" w:pos="1252"/>
          <w:tab w:val="left" w:pos="1253"/>
        </w:tabs>
        <w:autoSpaceDE w:val="0"/>
        <w:autoSpaceDN w:val="0"/>
        <w:ind w:right="670" w:hanging="566"/>
        <w:contextualSpacing w:val="0"/>
        <w:rPr>
          <w:rFonts w:ascii="Arial" w:hAnsi="Arial" w:cs="Arial"/>
        </w:rPr>
      </w:pPr>
      <w:r w:rsidRPr="001660AD">
        <w:rPr>
          <w:rFonts w:ascii="Arial" w:hAnsi="Arial" w:cs="Arial"/>
          <w:b/>
        </w:rPr>
        <w:t xml:space="preserve">Quorum: </w:t>
      </w:r>
      <w:r w:rsidRPr="001660AD">
        <w:rPr>
          <w:rFonts w:ascii="Arial" w:hAnsi="Arial" w:cs="Arial"/>
        </w:rPr>
        <w:t>Four members of the Committee shall constitute a quorum. There should always be a majority of independent members</w:t>
      </w:r>
      <w:r w:rsidRPr="001660AD">
        <w:rPr>
          <w:rFonts w:ascii="Arial" w:hAnsi="Arial" w:cs="Arial"/>
          <w:spacing w:val="-6"/>
        </w:rPr>
        <w:t xml:space="preserve"> </w:t>
      </w:r>
      <w:r w:rsidRPr="001660AD">
        <w:rPr>
          <w:rFonts w:ascii="Arial" w:hAnsi="Arial" w:cs="Arial"/>
        </w:rPr>
        <w:t>present.</w:t>
      </w:r>
    </w:p>
    <w:p w:rsidR="00C067E6" w:rsidRPr="001660AD" w:rsidRDefault="00C067E6" w:rsidP="00C067E6">
      <w:pPr>
        <w:pStyle w:val="BodyText"/>
        <w:rPr>
          <w:sz w:val="24"/>
          <w:szCs w:val="24"/>
        </w:rPr>
      </w:pPr>
    </w:p>
    <w:p w:rsidR="00C067E6" w:rsidRPr="001660AD" w:rsidRDefault="00C067E6" w:rsidP="00C067E6">
      <w:pPr>
        <w:pStyle w:val="ListParagraph"/>
        <w:widowControl w:val="0"/>
        <w:numPr>
          <w:ilvl w:val="1"/>
          <w:numId w:val="1"/>
        </w:numPr>
        <w:tabs>
          <w:tab w:val="left" w:pos="1252"/>
          <w:tab w:val="left" w:pos="1253"/>
        </w:tabs>
        <w:autoSpaceDE w:val="0"/>
        <w:autoSpaceDN w:val="0"/>
        <w:ind w:hanging="566"/>
        <w:contextualSpacing w:val="0"/>
        <w:rPr>
          <w:rFonts w:ascii="Arial" w:hAnsi="Arial" w:cs="Arial"/>
        </w:rPr>
      </w:pPr>
      <w:r w:rsidRPr="001660AD">
        <w:rPr>
          <w:rFonts w:ascii="Arial" w:hAnsi="Arial" w:cs="Arial"/>
          <w:b/>
        </w:rPr>
        <w:t xml:space="preserve">Chair: </w:t>
      </w:r>
      <w:r w:rsidRPr="001660AD">
        <w:rPr>
          <w:rFonts w:ascii="Arial" w:hAnsi="Arial" w:cs="Arial"/>
        </w:rPr>
        <w:t>To be elected by the Regional Board.</w:t>
      </w:r>
    </w:p>
    <w:p w:rsidR="00C067E6" w:rsidRPr="001660AD" w:rsidRDefault="00C067E6" w:rsidP="00C067E6">
      <w:pPr>
        <w:pStyle w:val="ListParagraph"/>
        <w:rPr>
          <w:rFonts w:ascii="Arial" w:hAnsi="Arial" w:cs="Arial"/>
        </w:rPr>
      </w:pPr>
    </w:p>
    <w:p w:rsidR="00C067E6" w:rsidRPr="001660AD" w:rsidRDefault="00C067E6" w:rsidP="00C067E6">
      <w:pPr>
        <w:pStyle w:val="ListParagraph"/>
        <w:tabs>
          <w:tab w:val="left" w:pos="1252"/>
          <w:tab w:val="left" w:pos="1253"/>
        </w:tabs>
        <w:rPr>
          <w:rFonts w:ascii="Arial" w:hAnsi="Arial" w:cs="Arial"/>
        </w:rPr>
      </w:pPr>
    </w:p>
    <w:p w:rsidR="00C067E6" w:rsidRPr="001660AD" w:rsidRDefault="00C067E6" w:rsidP="00C067E6">
      <w:pPr>
        <w:pStyle w:val="Heading1"/>
        <w:keepNext w:val="0"/>
        <w:widowControl w:val="0"/>
        <w:numPr>
          <w:ilvl w:val="0"/>
          <w:numId w:val="3"/>
        </w:numPr>
        <w:tabs>
          <w:tab w:val="left" w:pos="686"/>
          <w:tab w:val="left" w:pos="687"/>
        </w:tabs>
        <w:autoSpaceDE w:val="0"/>
        <w:autoSpaceDN w:val="0"/>
        <w:ind w:left="709" w:hanging="425"/>
        <w:rPr>
          <w:rFonts w:ascii="Arial" w:hAnsi="Arial" w:cs="Arial"/>
          <w:szCs w:val="24"/>
          <w:u w:val="none"/>
        </w:rPr>
      </w:pPr>
      <w:r w:rsidRPr="001660AD">
        <w:rPr>
          <w:rFonts w:ascii="Arial" w:hAnsi="Arial" w:cs="Arial"/>
          <w:szCs w:val="24"/>
          <w:u w:val="none"/>
        </w:rPr>
        <w:t>Terms of Reference</w:t>
      </w:r>
    </w:p>
    <w:p w:rsidR="00C067E6" w:rsidRPr="001660AD" w:rsidRDefault="00C067E6" w:rsidP="00C067E6">
      <w:pPr>
        <w:pStyle w:val="Heading1"/>
        <w:tabs>
          <w:tab w:val="left" w:pos="686"/>
          <w:tab w:val="left" w:pos="687"/>
        </w:tabs>
        <w:ind w:left="1046"/>
        <w:rPr>
          <w:rFonts w:ascii="Arial" w:hAnsi="Arial" w:cs="Arial"/>
          <w:szCs w:val="24"/>
          <w:u w:val="none"/>
        </w:rPr>
      </w:pPr>
    </w:p>
    <w:p w:rsidR="00C067E6" w:rsidRPr="001660AD" w:rsidRDefault="00C067E6" w:rsidP="00C067E6">
      <w:pPr>
        <w:pStyle w:val="Heading1"/>
        <w:ind w:left="709"/>
        <w:rPr>
          <w:rFonts w:ascii="Arial" w:hAnsi="Arial" w:cs="Arial"/>
          <w:b w:val="0"/>
          <w:szCs w:val="24"/>
          <w:u w:val="none"/>
        </w:rPr>
      </w:pPr>
      <w:r w:rsidRPr="001660AD">
        <w:rPr>
          <w:rFonts w:ascii="Arial" w:hAnsi="Arial" w:cs="Arial"/>
          <w:b w:val="0"/>
          <w:szCs w:val="24"/>
          <w:u w:val="none"/>
        </w:rPr>
        <w:tab/>
        <w:t>The purpose of the Committee is to provide oversight and monitoring to ensure the College is utilising resources appropriately and effectively in order to deliver against plans and strategies.</w:t>
      </w:r>
    </w:p>
    <w:p w:rsidR="00C067E6" w:rsidRPr="001660AD" w:rsidRDefault="00C067E6" w:rsidP="00C067E6">
      <w:pPr>
        <w:pStyle w:val="Heading1"/>
        <w:tabs>
          <w:tab w:val="left" w:pos="686"/>
          <w:tab w:val="left" w:pos="687"/>
        </w:tabs>
        <w:ind w:left="709"/>
        <w:rPr>
          <w:rFonts w:ascii="Arial" w:hAnsi="Arial" w:cs="Arial"/>
          <w:szCs w:val="24"/>
          <w:u w:val="none"/>
        </w:rPr>
      </w:pPr>
    </w:p>
    <w:p w:rsidR="00C067E6" w:rsidRPr="001660AD" w:rsidRDefault="00C067E6" w:rsidP="00C067E6">
      <w:pPr>
        <w:pStyle w:val="Heading1"/>
        <w:numPr>
          <w:ilvl w:val="0"/>
          <w:numId w:val="4"/>
        </w:numPr>
        <w:ind w:left="709" w:firstLine="0"/>
        <w:rPr>
          <w:rFonts w:ascii="Arial" w:hAnsi="Arial" w:cs="Arial"/>
          <w:b w:val="0"/>
          <w:szCs w:val="24"/>
          <w:u w:val="none"/>
        </w:rPr>
      </w:pPr>
      <w:r w:rsidRPr="001660AD">
        <w:rPr>
          <w:rFonts w:ascii="Arial" w:hAnsi="Arial" w:cs="Arial"/>
          <w:b w:val="0"/>
          <w:szCs w:val="24"/>
          <w:u w:val="none"/>
        </w:rPr>
        <w:t>Key Items:</w:t>
      </w:r>
    </w:p>
    <w:p w:rsidR="00C067E6" w:rsidRPr="001660AD" w:rsidRDefault="00C067E6" w:rsidP="00C067E6">
      <w:pPr>
        <w:pStyle w:val="Heading1"/>
        <w:numPr>
          <w:ilvl w:val="0"/>
          <w:numId w:val="4"/>
        </w:numPr>
        <w:tabs>
          <w:tab w:val="left" w:pos="686"/>
          <w:tab w:val="left" w:pos="687"/>
        </w:tabs>
        <w:ind w:left="709" w:firstLine="0"/>
        <w:rPr>
          <w:rFonts w:ascii="Arial" w:hAnsi="Arial" w:cs="Arial"/>
          <w:b w:val="0"/>
          <w:szCs w:val="24"/>
          <w:u w:val="none"/>
        </w:rPr>
      </w:pPr>
      <w:r w:rsidRPr="001660AD">
        <w:rPr>
          <w:rFonts w:ascii="Arial" w:hAnsi="Arial" w:cs="Arial"/>
          <w:b w:val="0"/>
          <w:szCs w:val="24"/>
          <w:u w:val="none"/>
        </w:rPr>
        <w:t xml:space="preserve">Finance  </w:t>
      </w:r>
    </w:p>
    <w:p w:rsidR="00C067E6" w:rsidRPr="001660AD" w:rsidRDefault="00C067E6" w:rsidP="00C067E6">
      <w:pPr>
        <w:pStyle w:val="Heading1"/>
        <w:numPr>
          <w:ilvl w:val="0"/>
          <w:numId w:val="4"/>
        </w:numPr>
        <w:tabs>
          <w:tab w:val="left" w:pos="686"/>
          <w:tab w:val="left" w:pos="687"/>
        </w:tabs>
        <w:ind w:left="709" w:firstLine="0"/>
        <w:rPr>
          <w:rFonts w:ascii="Arial" w:hAnsi="Arial" w:cs="Arial"/>
          <w:b w:val="0"/>
          <w:szCs w:val="24"/>
          <w:u w:val="none"/>
        </w:rPr>
      </w:pPr>
      <w:r w:rsidRPr="001660AD">
        <w:rPr>
          <w:rFonts w:ascii="Arial" w:hAnsi="Arial" w:cs="Arial"/>
          <w:b w:val="0"/>
          <w:szCs w:val="24"/>
          <w:u w:val="none"/>
        </w:rPr>
        <w:t>People Services</w:t>
      </w:r>
    </w:p>
    <w:p w:rsidR="00C067E6" w:rsidRPr="001660AD" w:rsidRDefault="00C067E6" w:rsidP="00C067E6">
      <w:pPr>
        <w:pStyle w:val="Heading1"/>
        <w:numPr>
          <w:ilvl w:val="0"/>
          <w:numId w:val="4"/>
        </w:numPr>
        <w:tabs>
          <w:tab w:val="left" w:pos="686"/>
          <w:tab w:val="left" w:pos="687"/>
        </w:tabs>
        <w:ind w:left="709" w:firstLine="0"/>
        <w:rPr>
          <w:rFonts w:ascii="Arial" w:hAnsi="Arial" w:cs="Arial"/>
          <w:b w:val="0"/>
          <w:szCs w:val="24"/>
          <w:u w:val="none"/>
        </w:rPr>
      </w:pPr>
      <w:r w:rsidRPr="001660AD">
        <w:rPr>
          <w:rFonts w:ascii="Arial" w:hAnsi="Arial" w:cs="Arial"/>
          <w:b w:val="0"/>
          <w:szCs w:val="24"/>
          <w:u w:val="none"/>
        </w:rPr>
        <w:t>Asset Management Strategy</w:t>
      </w:r>
    </w:p>
    <w:p w:rsidR="00C067E6" w:rsidRPr="001660AD" w:rsidRDefault="00C067E6" w:rsidP="00C067E6">
      <w:pPr>
        <w:pStyle w:val="Heading1"/>
        <w:numPr>
          <w:ilvl w:val="0"/>
          <w:numId w:val="4"/>
        </w:numPr>
        <w:tabs>
          <w:tab w:val="left" w:pos="686"/>
          <w:tab w:val="left" w:pos="687"/>
        </w:tabs>
        <w:ind w:left="709" w:firstLine="0"/>
        <w:rPr>
          <w:rFonts w:ascii="Arial" w:hAnsi="Arial" w:cs="Arial"/>
          <w:b w:val="0"/>
          <w:szCs w:val="24"/>
          <w:u w:val="none"/>
        </w:rPr>
      </w:pPr>
      <w:r w:rsidRPr="001660AD">
        <w:rPr>
          <w:rFonts w:ascii="Arial" w:hAnsi="Arial" w:cs="Arial"/>
          <w:b w:val="0"/>
          <w:szCs w:val="24"/>
          <w:u w:val="none"/>
        </w:rPr>
        <w:t>Workforce Strategy</w:t>
      </w:r>
    </w:p>
    <w:p w:rsidR="00C067E6" w:rsidRPr="001660AD" w:rsidRDefault="00C067E6" w:rsidP="00C067E6">
      <w:pPr>
        <w:pStyle w:val="Heading1"/>
        <w:tabs>
          <w:tab w:val="left" w:pos="686"/>
          <w:tab w:val="left" w:pos="687"/>
        </w:tabs>
        <w:ind w:left="686" w:hanging="567"/>
        <w:rPr>
          <w:rFonts w:ascii="Arial" w:hAnsi="Arial" w:cs="Arial"/>
          <w:b w:val="0"/>
          <w:szCs w:val="24"/>
        </w:rPr>
      </w:pPr>
    </w:p>
    <w:p w:rsidR="00C067E6" w:rsidRPr="001660AD" w:rsidRDefault="00C067E6" w:rsidP="00C067E6">
      <w:pPr>
        <w:pStyle w:val="ListParagraph"/>
        <w:widowControl w:val="0"/>
        <w:numPr>
          <w:ilvl w:val="1"/>
          <w:numId w:val="3"/>
        </w:numPr>
        <w:tabs>
          <w:tab w:val="left" w:pos="1252"/>
          <w:tab w:val="left" w:pos="1253"/>
        </w:tabs>
        <w:autoSpaceDE w:val="0"/>
        <w:autoSpaceDN w:val="0"/>
        <w:ind w:right="221"/>
        <w:contextualSpacing w:val="0"/>
        <w:rPr>
          <w:rFonts w:ascii="Arial" w:hAnsi="Arial" w:cs="Arial"/>
        </w:rPr>
      </w:pPr>
      <w:r w:rsidRPr="001660AD">
        <w:rPr>
          <w:rFonts w:ascii="Arial" w:hAnsi="Arial" w:cs="Arial"/>
        </w:rPr>
        <w:t>To monitor the financial management of the College; including reviewing and monitoring treasury management strategy, strategic financial plans and annual budgets;</w:t>
      </w:r>
    </w:p>
    <w:p w:rsidR="00C067E6" w:rsidRPr="001660AD" w:rsidRDefault="00C067E6" w:rsidP="00C067E6">
      <w:pPr>
        <w:pStyle w:val="ListParagraph"/>
        <w:tabs>
          <w:tab w:val="left" w:pos="1252"/>
          <w:tab w:val="left" w:pos="1253"/>
        </w:tabs>
        <w:ind w:left="1246" w:right="221"/>
        <w:rPr>
          <w:rFonts w:ascii="Arial" w:hAnsi="Arial" w:cs="Arial"/>
        </w:rPr>
      </w:pPr>
    </w:p>
    <w:p w:rsidR="00C067E6" w:rsidRPr="001660AD" w:rsidRDefault="00C067E6" w:rsidP="00C067E6">
      <w:pPr>
        <w:pStyle w:val="ListParagraph"/>
        <w:widowControl w:val="0"/>
        <w:numPr>
          <w:ilvl w:val="1"/>
          <w:numId w:val="3"/>
        </w:numPr>
        <w:tabs>
          <w:tab w:val="left" w:pos="1252"/>
          <w:tab w:val="left" w:pos="1253"/>
        </w:tabs>
        <w:autoSpaceDE w:val="0"/>
        <w:autoSpaceDN w:val="0"/>
        <w:ind w:right="221"/>
        <w:contextualSpacing w:val="0"/>
        <w:rPr>
          <w:rFonts w:ascii="Arial" w:hAnsi="Arial" w:cs="Arial"/>
        </w:rPr>
      </w:pPr>
      <w:r w:rsidRPr="001660AD">
        <w:rPr>
          <w:rFonts w:ascii="Arial" w:hAnsi="Arial" w:cs="Arial"/>
        </w:rPr>
        <w:t>To keep People Service’s strategic policies under review and consider proposed changes for recommendation to the Regional Board;</w:t>
      </w:r>
    </w:p>
    <w:p w:rsidR="00C067E6" w:rsidRPr="001660AD" w:rsidRDefault="00C067E6" w:rsidP="00C067E6">
      <w:pPr>
        <w:pStyle w:val="ListParagraph"/>
        <w:rPr>
          <w:rFonts w:ascii="Arial" w:hAnsi="Arial" w:cs="Arial"/>
        </w:rPr>
      </w:pPr>
    </w:p>
    <w:p w:rsidR="00C067E6" w:rsidRPr="001660AD" w:rsidRDefault="00C067E6" w:rsidP="00C067E6">
      <w:pPr>
        <w:pStyle w:val="ListParagraph"/>
        <w:widowControl w:val="0"/>
        <w:numPr>
          <w:ilvl w:val="1"/>
          <w:numId w:val="3"/>
        </w:numPr>
        <w:tabs>
          <w:tab w:val="left" w:pos="1251"/>
          <w:tab w:val="left" w:pos="1253"/>
        </w:tabs>
        <w:autoSpaceDE w:val="0"/>
        <w:autoSpaceDN w:val="0"/>
        <w:contextualSpacing w:val="0"/>
        <w:rPr>
          <w:rFonts w:ascii="Arial" w:hAnsi="Arial" w:cs="Arial"/>
        </w:rPr>
      </w:pPr>
      <w:r w:rsidRPr="001660AD">
        <w:rPr>
          <w:rFonts w:ascii="Arial" w:hAnsi="Arial" w:cs="Arial"/>
        </w:rPr>
        <w:t>To consider performance benchmarking</w:t>
      </w:r>
      <w:r w:rsidRPr="001660AD">
        <w:rPr>
          <w:rFonts w:ascii="Arial" w:hAnsi="Arial" w:cs="Arial"/>
          <w:spacing w:val="-7"/>
        </w:rPr>
        <w:t xml:space="preserve"> </w:t>
      </w:r>
      <w:r w:rsidRPr="001660AD">
        <w:rPr>
          <w:rFonts w:ascii="Arial" w:hAnsi="Arial" w:cs="Arial"/>
        </w:rPr>
        <w:t>information to assess the effectiveness of use of College resources;</w:t>
      </w:r>
    </w:p>
    <w:p w:rsidR="00C067E6" w:rsidRPr="001660AD" w:rsidRDefault="00C067E6" w:rsidP="00C067E6">
      <w:pPr>
        <w:pStyle w:val="ListParagraph"/>
        <w:rPr>
          <w:rFonts w:ascii="Arial" w:hAnsi="Arial" w:cs="Arial"/>
        </w:rPr>
      </w:pPr>
    </w:p>
    <w:p w:rsidR="00C067E6" w:rsidRPr="001660AD" w:rsidRDefault="00C067E6" w:rsidP="00C067E6">
      <w:pPr>
        <w:pStyle w:val="ListParagraph"/>
        <w:widowControl w:val="0"/>
        <w:numPr>
          <w:ilvl w:val="1"/>
          <w:numId w:val="3"/>
        </w:numPr>
        <w:tabs>
          <w:tab w:val="left" w:pos="1251"/>
          <w:tab w:val="left" w:pos="1253"/>
        </w:tabs>
        <w:autoSpaceDE w:val="0"/>
        <w:autoSpaceDN w:val="0"/>
        <w:contextualSpacing w:val="0"/>
        <w:rPr>
          <w:rFonts w:ascii="Arial" w:hAnsi="Arial" w:cs="Arial"/>
        </w:rPr>
      </w:pPr>
      <w:r w:rsidRPr="001660AD">
        <w:rPr>
          <w:rFonts w:ascii="Arial" w:hAnsi="Arial" w:cs="Arial"/>
        </w:rPr>
        <w:t>To review and recommend the Annual Budget to the</w:t>
      </w:r>
      <w:r w:rsidRPr="001660AD">
        <w:rPr>
          <w:rFonts w:ascii="Arial" w:hAnsi="Arial" w:cs="Arial"/>
          <w:spacing w:val="-9"/>
        </w:rPr>
        <w:t xml:space="preserve"> </w:t>
      </w:r>
      <w:r w:rsidRPr="001660AD">
        <w:rPr>
          <w:rFonts w:ascii="Arial" w:hAnsi="Arial" w:cs="Arial"/>
        </w:rPr>
        <w:t>Board and oversee its delivery;</w:t>
      </w:r>
    </w:p>
    <w:p w:rsidR="00C067E6" w:rsidRPr="001660AD" w:rsidRDefault="00C067E6" w:rsidP="00C067E6">
      <w:pPr>
        <w:pStyle w:val="BodyText"/>
        <w:rPr>
          <w:sz w:val="24"/>
          <w:szCs w:val="24"/>
        </w:rPr>
      </w:pPr>
    </w:p>
    <w:p w:rsidR="00C067E6" w:rsidRPr="001660AD" w:rsidRDefault="00C067E6" w:rsidP="00C067E6">
      <w:pPr>
        <w:pStyle w:val="ListParagraph"/>
        <w:widowControl w:val="0"/>
        <w:numPr>
          <w:ilvl w:val="1"/>
          <w:numId w:val="3"/>
        </w:numPr>
        <w:tabs>
          <w:tab w:val="left" w:pos="1251"/>
          <w:tab w:val="left" w:pos="1253"/>
        </w:tabs>
        <w:autoSpaceDE w:val="0"/>
        <w:autoSpaceDN w:val="0"/>
        <w:ind w:right="341"/>
        <w:contextualSpacing w:val="0"/>
        <w:rPr>
          <w:rFonts w:ascii="Arial" w:hAnsi="Arial" w:cs="Arial"/>
        </w:rPr>
      </w:pPr>
      <w:r w:rsidRPr="001660AD">
        <w:rPr>
          <w:rFonts w:ascii="Arial" w:hAnsi="Arial" w:cs="Arial"/>
        </w:rPr>
        <w:t>To consider the Financial Forecast Return (FFR) and recommend for approval by the Board, and monitor the progression of the FFR;</w:t>
      </w:r>
    </w:p>
    <w:p w:rsidR="00C067E6" w:rsidRPr="001660AD" w:rsidRDefault="00C067E6" w:rsidP="00C067E6">
      <w:pPr>
        <w:pStyle w:val="ListParagraph"/>
        <w:rPr>
          <w:rFonts w:ascii="Arial" w:hAnsi="Arial" w:cs="Arial"/>
        </w:rPr>
      </w:pPr>
    </w:p>
    <w:p w:rsidR="00C067E6" w:rsidRPr="001660AD" w:rsidRDefault="00C067E6" w:rsidP="00C067E6">
      <w:pPr>
        <w:pStyle w:val="ListParagraph"/>
        <w:widowControl w:val="0"/>
        <w:numPr>
          <w:ilvl w:val="1"/>
          <w:numId w:val="3"/>
        </w:numPr>
        <w:tabs>
          <w:tab w:val="left" w:pos="1253"/>
        </w:tabs>
        <w:autoSpaceDE w:val="0"/>
        <w:autoSpaceDN w:val="0"/>
        <w:ind w:right="362"/>
        <w:contextualSpacing w:val="0"/>
        <w:rPr>
          <w:rFonts w:ascii="Arial" w:hAnsi="Arial" w:cs="Arial"/>
        </w:rPr>
      </w:pPr>
      <w:r w:rsidRPr="001660AD">
        <w:rPr>
          <w:rFonts w:ascii="Arial" w:hAnsi="Arial" w:cs="Arial"/>
        </w:rPr>
        <w:t>To oversee the Workforce Strategy and to monitor the implementation of this and delivery of associated KPIs; </w:t>
      </w:r>
    </w:p>
    <w:p w:rsidR="00C067E6" w:rsidRPr="001660AD" w:rsidRDefault="00C067E6" w:rsidP="00C067E6">
      <w:pPr>
        <w:pStyle w:val="ListParagraph"/>
        <w:rPr>
          <w:rFonts w:ascii="Arial" w:hAnsi="Arial" w:cs="Arial"/>
        </w:rPr>
      </w:pPr>
    </w:p>
    <w:p w:rsidR="00C067E6" w:rsidRDefault="00C067E6" w:rsidP="00C067E6">
      <w:pPr>
        <w:pStyle w:val="ListParagraph"/>
        <w:widowControl w:val="0"/>
        <w:numPr>
          <w:ilvl w:val="1"/>
          <w:numId w:val="3"/>
        </w:numPr>
        <w:tabs>
          <w:tab w:val="left" w:pos="1253"/>
        </w:tabs>
        <w:autoSpaceDE w:val="0"/>
        <w:autoSpaceDN w:val="0"/>
        <w:ind w:right="362"/>
        <w:contextualSpacing w:val="0"/>
        <w:rPr>
          <w:rFonts w:ascii="Arial" w:hAnsi="Arial" w:cs="Arial"/>
        </w:rPr>
      </w:pPr>
      <w:r w:rsidRPr="001660AD">
        <w:rPr>
          <w:rFonts w:ascii="Arial" w:hAnsi="Arial" w:cs="Arial"/>
        </w:rPr>
        <w:t xml:space="preserve">To oversee the Asset Management Strategy (digital, IT and property </w:t>
      </w:r>
      <w:r w:rsidRPr="001660AD">
        <w:rPr>
          <w:rFonts w:ascii="Arial" w:hAnsi="Arial" w:cs="Arial"/>
        </w:rPr>
        <w:lastRenderedPageBreak/>
        <w:t>resources) and to monitor the implementation of this and delivery of associated KPIs;</w:t>
      </w:r>
    </w:p>
    <w:p w:rsidR="00C067E6" w:rsidRPr="0085490E" w:rsidRDefault="00C067E6" w:rsidP="00C067E6">
      <w:pPr>
        <w:pStyle w:val="ListParagraph"/>
        <w:rPr>
          <w:rFonts w:ascii="Arial" w:hAnsi="Arial" w:cs="Arial"/>
        </w:rPr>
      </w:pPr>
    </w:p>
    <w:p w:rsidR="00C067E6" w:rsidRPr="001660AD" w:rsidRDefault="00C067E6" w:rsidP="00C067E6">
      <w:pPr>
        <w:pStyle w:val="ListParagraph"/>
        <w:widowControl w:val="0"/>
        <w:numPr>
          <w:ilvl w:val="1"/>
          <w:numId w:val="3"/>
        </w:numPr>
        <w:tabs>
          <w:tab w:val="left" w:pos="1253"/>
        </w:tabs>
        <w:autoSpaceDE w:val="0"/>
        <w:autoSpaceDN w:val="0"/>
        <w:ind w:right="362"/>
        <w:contextualSpacing w:val="0"/>
        <w:rPr>
          <w:rFonts w:ascii="Arial" w:hAnsi="Arial" w:cs="Arial"/>
        </w:rPr>
      </w:pPr>
      <w:r>
        <w:rPr>
          <w:rFonts w:ascii="Arial" w:hAnsi="Arial" w:cs="Arial"/>
          <w:lang w:val="en-US"/>
        </w:rPr>
        <w:t xml:space="preserve">To oversee the </w:t>
      </w:r>
      <w:r w:rsidRPr="001660AD">
        <w:rPr>
          <w:rFonts w:ascii="Arial" w:hAnsi="Arial" w:cs="Arial"/>
          <w:lang w:val="en-US"/>
        </w:rPr>
        <w:t>financial</w:t>
      </w:r>
      <w:r>
        <w:rPr>
          <w:rFonts w:ascii="Arial" w:hAnsi="Arial" w:cs="Arial"/>
          <w:lang w:val="en-US"/>
        </w:rPr>
        <w:t>,</w:t>
      </w:r>
      <w:r w:rsidRPr="001660AD">
        <w:rPr>
          <w:rFonts w:ascii="Arial" w:hAnsi="Arial" w:cs="Arial"/>
          <w:lang w:val="en-US"/>
        </w:rPr>
        <w:t xml:space="preserve"> and </w:t>
      </w:r>
      <w:r>
        <w:rPr>
          <w:rFonts w:ascii="Arial" w:hAnsi="Arial" w:cs="Arial"/>
          <w:lang w:val="en-US"/>
        </w:rPr>
        <w:t xml:space="preserve">other </w:t>
      </w:r>
      <w:r w:rsidRPr="001660AD">
        <w:rPr>
          <w:rFonts w:ascii="Arial" w:hAnsi="Arial" w:cs="Arial"/>
          <w:lang w:val="en-US"/>
        </w:rPr>
        <w:t>resource</w:t>
      </w:r>
      <w:r>
        <w:rPr>
          <w:rFonts w:ascii="Arial" w:hAnsi="Arial" w:cs="Arial"/>
          <w:lang w:val="en-US"/>
        </w:rPr>
        <w:t>,</w:t>
      </w:r>
      <w:r w:rsidRPr="001660AD">
        <w:rPr>
          <w:rFonts w:ascii="Arial" w:hAnsi="Arial" w:cs="Arial"/>
          <w:lang w:val="en-US"/>
        </w:rPr>
        <w:t xml:space="preserve"> </w:t>
      </w:r>
      <w:r>
        <w:rPr>
          <w:rFonts w:ascii="Arial" w:hAnsi="Arial" w:cs="Arial"/>
          <w:lang w:val="en-US"/>
        </w:rPr>
        <w:t xml:space="preserve">implications and </w:t>
      </w:r>
      <w:r w:rsidRPr="001660AD">
        <w:rPr>
          <w:rFonts w:ascii="Arial" w:hAnsi="Arial" w:cs="Arial"/>
          <w:lang w:val="en-US"/>
        </w:rPr>
        <w:t>impact of th</w:t>
      </w:r>
      <w:r>
        <w:rPr>
          <w:rFonts w:ascii="Arial" w:hAnsi="Arial" w:cs="Arial"/>
          <w:lang w:val="en-US"/>
        </w:rPr>
        <w:t>e Business Growth and Employer Engagement Strategy;</w:t>
      </w:r>
    </w:p>
    <w:p w:rsidR="00C067E6" w:rsidRPr="001660AD" w:rsidRDefault="00C067E6" w:rsidP="00C067E6">
      <w:pPr>
        <w:pStyle w:val="ListParagraph"/>
        <w:rPr>
          <w:rFonts w:ascii="Arial" w:hAnsi="Arial" w:cs="Arial"/>
        </w:rPr>
      </w:pPr>
    </w:p>
    <w:p w:rsidR="00C067E6" w:rsidRPr="001660AD" w:rsidRDefault="00C067E6" w:rsidP="00C067E6">
      <w:pPr>
        <w:pStyle w:val="ListParagraph"/>
        <w:widowControl w:val="0"/>
        <w:numPr>
          <w:ilvl w:val="1"/>
          <w:numId w:val="3"/>
        </w:numPr>
        <w:tabs>
          <w:tab w:val="left" w:pos="1253"/>
        </w:tabs>
        <w:autoSpaceDE w:val="0"/>
        <w:autoSpaceDN w:val="0"/>
        <w:ind w:right="362"/>
        <w:contextualSpacing w:val="0"/>
        <w:rPr>
          <w:rFonts w:ascii="Arial" w:hAnsi="Arial" w:cs="Arial"/>
        </w:rPr>
      </w:pPr>
      <w:r w:rsidRPr="001660AD">
        <w:rPr>
          <w:rFonts w:ascii="Arial" w:hAnsi="Arial" w:cs="Arial"/>
        </w:rPr>
        <w:t>To oversee the Financial Plan and to monitor the implementation of this and delivery of associated KPIs;</w:t>
      </w:r>
    </w:p>
    <w:p w:rsidR="00C067E6" w:rsidRPr="001660AD" w:rsidRDefault="00C067E6" w:rsidP="00C067E6">
      <w:pPr>
        <w:pStyle w:val="ListParagraph"/>
        <w:rPr>
          <w:rFonts w:ascii="Arial" w:hAnsi="Arial" w:cs="Arial"/>
        </w:rPr>
      </w:pPr>
    </w:p>
    <w:p w:rsidR="00C067E6" w:rsidRPr="001660AD" w:rsidRDefault="00C067E6" w:rsidP="00C067E6">
      <w:pPr>
        <w:pStyle w:val="ListParagraph"/>
        <w:widowControl w:val="0"/>
        <w:numPr>
          <w:ilvl w:val="1"/>
          <w:numId w:val="3"/>
        </w:numPr>
        <w:tabs>
          <w:tab w:val="left" w:pos="1251"/>
          <w:tab w:val="left" w:pos="1253"/>
        </w:tabs>
        <w:autoSpaceDE w:val="0"/>
        <w:autoSpaceDN w:val="0"/>
        <w:contextualSpacing w:val="0"/>
        <w:rPr>
          <w:rFonts w:ascii="Arial" w:hAnsi="Arial" w:cs="Arial"/>
        </w:rPr>
      </w:pPr>
      <w:r w:rsidRPr="001660AD">
        <w:rPr>
          <w:rFonts w:ascii="Arial" w:hAnsi="Arial" w:cs="Arial"/>
          <w:color w:val="000000"/>
        </w:rPr>
        <w:t>To consider strategic matters which may have significant resource impact, and make recommendations to the Board on these matters</w:t>
      </w:r>
      <w:r w:rsidRPr="001660AD">
        <w:rPr>
          <w:rFonts w:ascii="Arial" w:hAnsi="Arial" w:cs="Arial"/>
        </w:rPr>
        <w:t>;</w:t>
      </w:r>
    </w:p>
    <w:p w:rsidR="00C067E6" w:rsidRPr="001660AD" w:rsidRDefault="00C067E6" w:rsidP="00C067E6">
      <w:pPr>
        <w:pStyle w:val="ListParagraph"/>
        <w:rPr>
          <w:rFonts w:ascii="Arial" w:hAnsi="Arial" w:cs="Arial"/>
        </w:rPr>
      </w:pPr>
    </w:p>
    <w:p w:rsidR="00C067E6" w:rsidRPr="001660AD" w:rsidRDefault="00C067E6" w:rsidP="00C067E6">
      <w:pPr>
        <w:pStyle w:val="ListParagraph"/>
        <w:widowControl w:val="0"/>
        <w:numPr>
          <w:ilvl w:val="1"/>
          <w:numId w:val="3"/>
        </w:numPr>
        <w:tabs>
          <w:tab w:val="left" w:pos="1251"/>
          <w:tab w:val="left" w:pos="1253"/>
        </w:tabs>
        <w:autoSpaceDE w:val="0"/>
        <w:autoSpaceDN w:val="0"/>
        <w:contextualSpacing w:val="0"/>
        <w:rPr>
          <w:rFonts w:ascii="Arial" w:hAnsi="Arial" w:cs="Arial"/>
        </w:rPr>
      </w:pPr>
      <w:r w:rsidRPr="001660AD">
        <w:rPr>
          <w:rFonts w:ascii="Arial" w:hAnsi="Arial" w:cs="Arial"/>
        </w:rPr>
        <w:t>To ensure the College adheres to the Financial Memorandum issued by the Scottish Funding Council;</w:t>
      </w:r>
    </w:p>
    <w:p w:rsidR="00C067E6" w:rsidRPr="001660AD" w:rsidRDefault="00C067E6" w:rsidP="00C067E6">
      <w:pPr>
        <w:pStyle w:val="ListParagraph"/>
        <w:tabs>
          <w:tab w:val="left" w:pos="1251"/>
          <w:tab w:val="left" w:pos="1253"/>
        </w:tabs>
        <w:ind w:left="1252"/>
        <w:rPr>
          <w:rFonts w:ascii="Arial" w:hAnsi="Arial" w:cs="Arial"/>
        </w:rPr>
      </w:pPr>
    </w:p>
    <w:p w:rsidR="00C067E6" w:rsidRPr="001660AD" w:rsidRDefault="00C067E6" w:rsidP="00C067E6">
      <w:pPr>
        <w:pStyle w:val="ListParagraph"/>
        <w:widowControl w:val="0"/>
        <w:numPr>
          <w:ilvl w:val="1"/>
          <w:numId w:val="3"/>
        </w:numPr>
        <w:tabs>
          <w:tab w:val="left" w:pos="1251"/>
          <w:tab w:val="left" w:pos="1253"/>
        </w:tabs>
        <w:autoSpaceDE w:val="0"/>
        <w:autoSpaceDN w:val="0"/>
        <w:ind w:right="475"/>
        <w:contextualSpacing w:val="0"/>
        <w:rPr>
          <w:rFonts w:ascii="Arial" w:hAnsi="Arial" w:cs="Arial"/>
        </w:rPr>
      </w:pPr>
      <w:r w:rsidRPr="001660AD">
        <w:rPr>
          <w:rFonts w:ascii="Arial" w:hAnsi="Arial" w:cs="Arial"/>
          <w:color w:val="000000"/>
        </w:rPr>
        <w:t>To approve procurements in accordance with the authority delegated to the Committee from time to time under the Borders College Procurements Thresholds Scheme (currently fixed at procurements between £100,000 and £249,999);</w:t>
      </w:r>
    </w:p>
    <w:p w:rsidR="00C067E6" w:rsidRPr="001660AD" w:rsidRDefault="00C067E6" w:rsidP="00C067E6">
      <w:pPr>
        <w:pStyle w:val="ListParagraph"/>
        <w:rPr>
          <w:rFonts w:ascii="Arial" w:hAnsi="Arial" w:cs="Arial"/>
        </w:rPr>
      </w:pPr>
    </w:p>
    <w:p w:rsidR="00C067E6" w:rsidRPr="001660AD" w:rsidRDefault="00C067E6" w:rsidP="00C067E6">
      <w:pPr>
        <w:pStyle w:val="ListParagraph"/>
        <w:widowControl w:val="0"/>
        <w:numPr>
          <w:ilvl w:val="1"/>
          <w:numId w:val="3"/>
        </w:numPr>
        <w:tabs>
          <w:tab w:val="left" w:pos="1251"/>
          <w:tab w:val="left" w:pos="1252"/>
        </w:tabs>
        <w:autoSpaceDE w:val="0"/>
        <w:autoSpaceDN w:val="0"/>
        <w:contextualSpacing w:val="0"/>
        <w:rPr>
          <w:rFonts w:ascii="Arial" w:hAnsi="Arial" w:cs="Arial"/>
        </w:rPr>
      </w:pPr>
      <w:r w:rsidRPr="001660AD">
        <w:rPr>
          <w:rFonts w:ascii="Arial" w:hAnsi="Arial" w:cs="Arial"/>
        </w:rPr>
        <w:t>To review and approve policy in relation to how tuition and other</w:t>
      </w:r>
      <w:r w:rsidRPr="001660AD">
        <w:rPr>
          <w:rFonts w:ascii="Arial" w:hAnsi="Arial" w:cs="Arial"/>
          <w:spacing w:val="-14"/>
        </w:rPr>
        <w:t xml:space="preserve"> </w:t>
      </w:r>
      <w:r w:rsidRPr="001660AD">
        <w:rPr>
          <w:rFonts w:ascii="Arial" w:hAnsi="Arial" w:cs="Arial"/>
        </w:rPr>
        <w:t>fees are set, and arrangements for refunds;</w:t>
      </w:r>
    </w:p>
    <w:p w:rsidR="00C067E6" w:rsidRPr="001660AD" w:rsidRDefault="00C067E6" w:rsidP="00C067E6">
      <w:pPr>
        <w:pStyle w:val="ListParagraph"/>
        <w:rPr>
          <w:rFonts w:ascii="Arial" w:hAnsi="Arial" w:cs="Arial"/>
        </w:rPr>
      </w:pPr>
    </w:p>
    <w:p w:rsidR="00C067E6" w:rsidRPr="001660AD" w:rsidRDefault="00C067E6" w:rsidP="00C067E6">
      <w:pPr>
        <w:pStyle w:val="ListParagraph"/>
        <w:widowControl w:val="0"/>
        <w:numPr>
          <w:ilvl w:val="1"/>
          <w:numId w:val="3"/>
        </w:numPr>
        <w:tabs>
          <w:tab w:val="left" w:pos="1251"/>
          <w:tab w:val="left" w:pos="1252"/>
        </w:tabs>
        <w:autoSpaceDE w:val="0"/>
        <w:autoSpaceDN w:val="0"/>
        <w:contextualSpacing w:val="0"/>
        <w:rPr>
          <w:rFonts w:ascii="Arial" w:hAnsi="Arial" w:cs="Arial"/>
        </w:rPr>
      </w:pPr>
      <w:r w:rsidRPr="001660AD">
        <w:rPr>
          <w:rFonts w:ascii="Arial" w:hAnsi="Arial" w:cs="Arial"/>
        </w:rPr>
        <w:t>To monitor the performance of any College Subsidiary Entities;</w:t>
      </w:r>
    </w:p>
    <w:p w:rsidR="00C067E6" w:rsidRPr="001660AD" w:rsidRDefault="00C067E6" w:rsidP="00C067E6">
      <w:pPr>
        <w:pStyle w:val="ListParagraph"/>
        <w:tabs>
          <w:tab w:val="left" w:pos="1251"/>
          <w:tab w:val="left" w:pos="1253"/>
        </w:tabs>
        <w:ind w:left="686" w:right="475"/>
        <w:rPr>
          <w:rFonts w:ascii="Arial" w:hAnsi="Arial" w:cs="Arial"/>
        </w:rPr>
      </w:pPr>
    </w:p>
    <w:p w:rsidR="00C067E6" w:rsidRPr="001660AD" w:rsidRDefault="00C067E6" w:rsidP="00C067E6">
      <w:pPr>
        <w:pStyle w:val="ListParagraph"/>
        <w:widowControl w:val="0"/>
        <w:numPr>
          <w:ilvl w:val="1"/>
          <w:numId w:val="3"/>
        </w:numPr>
        <w:tabs>
          <w:tab w:val="left" w:pos="1253"/>
        </w:tabs>
        <w:autoSpaceDE w:val="0"/>
        <w:autoSpaceDN w:val="0"/>
        <w:ind w:right="362"/>
        <w:contextualSpacing w:val="0"/>
        <w:rPr>
          <w:rFonts w:ascii="Arial" w:hAnsi="Arial" w:cs="Arial"/>
        </w:rPr>
      </w:pPr>
      <w:r w:rsidRPr="001660AD">
        <w:rPr>
          <w:rFonts w:ascii="Arial" w:hAnsi="Arial" w:cs="Arial"/>
        </w:rPr>
        <w:t>To monitor strategic risks which are relevant to the Finance and Resources Committee;</w:t>
      </w:r>
    </w:p>
    <w:p w:rsidR="00C067E6" w:rsidRPr="001660AD" w:rsidRDefault="00C067E6" w:rsidP="00C067E6">
      <w:pPr>
        <w:pStyle w:val="ListParagraph"/>
        <w:rPr>
          <w:rFonts w:ascii="Arial" w:hAnsi="Arial" w:cs="Arial"/>
        </w:rPr>
      </w:pPr>
    </w:p>
    <w:p w:rsidR="00C067E6" w:rsidRPr="001660AD" w:rsidRDefault="00C067E6" w:rsidP="00C067E6">
      <w:pPr>
        <w:pStyle w:val="ListParagraph"/>
        <w:widowControl w:val="0"/>
        <w:numPr>
          <w:ilvl w:val="1"/>
          <w:numId w:val="3"/>
        </w:numPr>
        <w:tabs>
          <w:tab w:val="left" w:pos="1253"/>
        </w:tabs>
        <w:autoSpaceDE w:val="0"/>
        <w:autoSpaceDN w:val="0"/>
        <w:ind w:right="362"/>
        <w:contextualSpacing w:val="0"/>
        <w:rPr>
          <w:rFonts w:ascii="Arial" w:hAnsi="Arial" w:cs="Arial"/>
        </w:rPr>
      </w:pPr>
      <w:r w:rsidRPr="001660AD">
        <w:rPr>
          <w:rFonts w:ascii="Arial" w:hAnsi="Arial" w:cs="Arial"/>
        </w:rPr>
        <w:t>To monitor that the College is operating within all legal requirements relating to employment law and other legislation affecting employment;</w:t>
      </w:r>
    </w:p>
    <w:p w:rsidR="00C067E6" w:rsidRPr="001660AD" w:rsidRDefault="00C067E6" w:rsidP="00C067E6">
      <w:pPr>
        <w:pStyle w:val="ListParagraph"/>
        <w:rPr>
          <w:rFonts w:ascii="Arial" w:hAnsi="Arial" w:cs="Arial"/>
        </w:rPr>
      </w:pPr>
    </w:p>
    <w:p w:rsidR="00C067E6" w:rsidRPr="001660AD" w:rsidRDefault="00C067E6" w:rsidP="00C067E6">
      <w:pPr>
        <w:pStyle w:val="ListParagraph"/>
        <w:widowControl w:val="0"/>
        <w:numPr>
          <w:ilvl w:val="1"/>
          <w:numId w:val="3"/>
        </w:numPr>
        <w:tabs>
          <w:tab w:val="left" w:pos="1253"/>
        </w:tabs>
        <w:autoSpaceDE w:val="0"/>
        <w:autoSpaceDN w:val="0"/>
        <w:ind w:right="362"/>
        <w:contextualSpacing w:val="0"/>
        <w:rPr>
          <w:rFonts w:ascii="Arial" w:hAnsi="Arial" w:cs="Arial"/>
        </w:rPr>
      </w:pPr>
      <w:r w:rsidRPr="001660AD">
        <w:rPr>
          <w:rFonts w:ascii="Arial" w:hAnsi="Arial" w:cs="Arial"/>
        </w:rPr>
        <w:t>To ensure that National Bargaining agreements are implemented; and</w:t>
      </w:r>
    </w:p>
    <w:p w:rsidR="00C067E6" w:rsidRPr="001660AD" w:rsidRDefault="00C067E6" w:rsidP="00C067E6">
      <w:pPr>
        <w:pStyle w:val="ListParagraph"/>
        <w:rPr>
          <w:rFonts w:ascii="Arial" w:hAnsi="Arial" w:cs="Arial"/>
        </w:rPr>
      </w:pPr>
    </w:p>
    <w:p w:rsidR="00C067E6" w:rsidRPr="001660AD" w:rsidRDefault="00C067E6" w:rsidP="00C067E6">
      <w:pPr>
        <w:pStyle w:val="ListParagraph"/>
        <w:widowControl w:val="0"/>
        <w:numPr>
          <w:ilvl w:val="1"/>
          <w:numId w:val="3"/>
        </w:numPr>
        <w:tabs>
          <w:tab w:val="left" w:pos="1253"/>
        </w:tabs>
        <w:autoSpaceDE w:val="0"/>
        <w:autoSpaceDN w:val="0"/>
        <w:ind w:right="362"/>
        <w:contextualSpacing w:val="0"/>
        <w:rPr>
          <w:rFonts w:ascii="Arial" w:hAnsi="Arial" w:cs="Arial"/>
        </w:rPr>
      </w:pPr>
      <w:r w:rsidRPr="001660AD">
        <w:rPr>
          <w:rFonts w:ascii="Arial" w:hAnsi="Arial" w:cs="Arial"/>
        </w:rPr>
        <w:t>To provide an Annual Report to the Regional Board.</w:t>
      </w:r>
    </w:p>
    <w:p w:rsidR="00C067E6" w:rsidRPr="001660AD" w:rsidRDefault="00C067E6" w:rsidP="00C067E6">
      <w:pPr>
        <w:pStyle w:val="ListParagraph"/>
        <w:rPr>
          <w:rFonts w:ascii="Arial" w:hAnsi="Arial" w:cs="Arial"/>
        </w:rPr>
      </w:pPr>
    </w:p>
    <w:p w:rsidR="00C067E6" w:rsidRPr="001660AD" w:rsidRDefault="00C067E6" w:rsidP="00C067E6">
      <w:pPr>
        <w:tabs>
          <w:tab w:val="left" w:pos="1253"/>
        </w:tabs>
        <w:ind w:right="362"/>
        <w:rPr>
          <w:rFonts w:ascii="Arial" w:hAnsi="Arial" w:cs="Arial"/>
        </w:rPr>
      </w:pPr>
    </w:p>
    <w:p w:rsidR="00C067E6" w:rsidRPr="001660AD" w:rsidRDefault="00C067E6" w:rsidP="00C067E6">
      <w:pPr>
        <w:pStyle w:val="Heading1"/>
        <w:keepNext w:val="0"/>
        <w:widowControl w:val="0"/>
        <w:numPr>
          <w:ilvl w:val="0"/>
          <w:numId w:val="2"/>
        </w:numPr>
        <w:tabs>
          <w:tab w:val="left" w:pos="686"/>
          <w:tab w:val="left" w:pos="687"/>
        </w:tabs>
        <w:autoSpaceDE w:val="0"/>
        <w:autoSpaceDN w:val="0"/>
        <w:ind w:left="709" w:hanging="425"/>
        <w:rPr>
          <w:rFonts w:ascii="Arial" w:hAnsi="Arial" w:cs="Arial"/>
          <w:szCs w:val="24"/>
          <w:u w:val="none"/>
        </w:rPr>
      </w:pPr>
      <w:r w:rsidRPr="001660AD">
        <w:rPr>
          <w:rFonts w:ascii="Arial" w:hAnsi="Arial" w:cs="Arial"/>
          <w:szCs w:val="24"/>
          <w:u w:val="none"/>
        </w:rPr>
        <w:t>Meetings</w:t>
      </w:r>
    </w:p>
    <w:p w:rsidR="00C067E6" w:rsidRPr="001660AD" w:rsidRDefault="00C067E6" w:rsidP="00C067E6">
      <w:pPr>
        <w:pStyle w:val="BodyText"/>
        <w:rPr>
          <w:b/>
          <w:sz w:val="24"/>
          <w:szCs w:val="24"/>
        </w:rPr>
      </w:pPr>
    </w:p>
    <w:p w:rsidR="00C067E6" w:rsidRPr="001660AD" w:rsidRDefault="00C067E6" w:rsidP="00C067E6">
      <w:pPr>
        <w:pStyle w:val="BodyText"/>
        <w:ind w:left="686"/>
        <w:rPr>
          <w:sz w:val="24"/>
          <w:szCs w:val="24"/>
        </w:rPr>
      </w:pPr>
      <w:r w:rsidRPr="001660AD">
        <w:rPr>
          <w:sz w:val="24"/>
          <w:szCs w:val="24"/>
        </w:rPr>
        <w:t>The Committee shall meet four times yearly and more frequently as necessary.</w:t>
      </w:r>
    </w:p>
    <w:p w:rsidR="00C067E6" w:rsidRPr="001660AD" w:rsidRDefault="00C067E6" w:rsidP="00C067E6">
      <w:pPr>
        <w:pStyle w:val="BodyText"/>
        <w:ind w:left="686"/>
        <w:rPr>
          <w:sz w:val="24"/>
          <w:szCs w:val="24"/>
        </w:rPr>
      </w:pPr>
    </w:p>
    <w:p w:rsidR="00C067E6" w:rsidRPr="001660AD" w:rsidRDefault="00C067E6" w:rsidP="00C067E6">
      <w:pPr>
        <w:pStyle w:val="BodyText"/>
        <w:rPr>
          <w:sz w:val="24"/>
          <w:szCs w:val="24"/>
        </w:rPr>
      </w:pPr>
    </w:p>
    <w:p w:rsidR="00C067E6" w:rsidRPr="001660AD" w:rsidRDefault="00C067E6" w:rsidP="00C067E6">
      <w:pPr>
        <w:pStyle w:val="Heading1"/>
        <w:keepNext w:val="0"/>
        <w:widowControl w:val="0"/>
        <w:numPr>
          <w:ilvl w:val="0"/>
          <w:numId w:val="2"/>
        </w:numPr>
        <w:tabs>
          <w:tab w:val="left" w:pos="686"/>
          <w:tab w:val="left" w:pos="687"/>
        </w:tabs>
        <w:autoSpaceDE w:val="0"/>
        <w:autoSpaceDN w:val="0"/>
        <w:ind w:left="709" w:hanging="425"/>
        <w:rPr>
          <w:rFonts w:ascii="Arial" w:hAnsi="Arial" w:cs="Arial"/>
          <w:szCs w:val="24"/>
          <w:u w:val="none"/>
        </w:rPr>
      </w:pPr>
      <w:r w:rsidRPr="001660AD">
        <w:rPr>
          <w:rFonts w:ascii="Arial" w:hAnsi="Arial" w:cs="Arial"/>
          <w:szCs w:val="24"/>
          <w:u w:val="none"/>
        </w:rPr>
        <w:t>Reporting</w:t>
      </w:r>
    </w:p>
    <w:p w:rsidR="00C067E6" w:rsidRPr="001660AD" w:rsidRDefault="00C067E6" w:rsidP="00C067E6">
      <w:pPr>
        <w:pStyle w:val="BodyText"/>
        <w:rPr>
          <w:b/>
          <w:sz w:val="24"/>
          <w:szCs w:val="24"/>
        </w:rPr>
      </w:pPr>
    </w:p>
    <w:p w:rsidR="00C067E6" w:rsidRPr="001660AD" w:rsidRDefault="00C067E6" w:rsidP="00C067E6">
      <w:pPr>
        <w:pStyle w:val="BodyText"/>
        <w:ind w:left="686" w:right="208"/>
        <w:rPr>
          <w:sz w:val="24"/>
          <w:szCs w:val="24"/>
        </w:rPr>
      </w:pPr>
      <w:r w:rsidRPr="001660AD">
        <w:rPr>
          <w:sz w:val="24"/>
          <w:szCs w:val="24"/>
        </w:rPr>
        <w:t>All Members of the Regional Board shall receive a copy of the minutes of each meeting and the Chair of the Committee shall make a report at the following Regional Board meeting.</w:t>
      </w:r>
    </w:p>
    <w:p w:rsidR="00C067E6" w:rsidRPr="001660AD" w:rsidRDefault="00C067E6" w:rsidP="00C067E6">
      <w:pPr>
        <w:pStyle w:val="BodyText"/>
        <w:rPr>
          <w:sz w:val="24"/>
          <w:szCs w:val="24"/>
        </w:rPr>
      </w:pPr>
    </w:p>
    <w:p w:rsidR="00C067E6" w:rsidRPr="001660AD" w:rsidRDefault="00C067E6" w:rsidP="00C067E6">
      <w:pPr>
        <w:pStyle w:val="BodyText"/>
        <w:rPr>
          <w:sz w:val="24"/>
          <w:szCs w:val="24"/>
        </w:rPr>
      </w:pPr>
    </w:p>
    <w:p w:rsidR="0022679D" w:rsidRPr="00C067E6" w:rsidRDefault="00C067E6" w:rsidP="00C067E6">
      <w:pPr>
        <w:rPr>
          <w:rFonts w:ascii="Arial" w:hAnsi="Arial" w:cs="Arial"/>
        </w:rPr>
      </w:pPr>
      <w:r w:rsidRPr="00C067E6">
        <w:rPr>
          <w:rFonts w:ascii="Arial" w:hAnsi="Arial" w:cs="Arial"/>
        </w:rPr>
        <w:t>Approved by the Board –</w:t>
      </w:r>
      <w:r>
        <w:rPr>
          <w:rFonts w:ascii="Arial" w:hAnsi="Arial" w:cs="Arial"/>
        </w:rPr>
        <w:t xml:space="preserve"> 1 Dec 2022</w:t>
      </w:r>
      <w:r w:rsidRPr="00C067E6">
        <w:rPr>
          <w:rFonts w:ascii="Arial" w:hAnsi="Arial" w:cs="Arial"/>
          <w:spacing w:val="-11"/>
        </w:rPr>
        <w:t xml:space="preserve"> </w:t>
      </w:r>
      <w:r w:rsidRPr="00C067E6">
        <w:rPr>
          <w:rFonts w:ascii="Arial" w:hAnsi="Arial" w:cs="Arial"/>
        </w:rPr>
        <w:tab/>
        <w:t>Date of Next Review</w:t>
      </w:r>
      <w:r>
        <w:rPr>
          <w:rFonts w:ascii="Arial" w:hAnsi="Arial" w:cs="Arial"/>
        </w:rPr>
        <w:t xml:space="preserve"> –</w:t>
      </w:r>
      <w:bookmarkStart w:id="0" w:name="_GoBack"/>
      <w:bookmarkEnd w:id="0"/>
      <w:r>
        <w:rPr>
          <w:rFonts w:ascii="Arial" w:hAnsi="Arial" w:cs="Arial"/>
        </w:rPr>
        <w:t xml:space="preserve"> June 2023</w:t>
      </w:r>
    </w:p>
    <w:sectPr w:rsidR="0022679D" w:rsidRPr="00C067E6" w:rsidSect="00C067E6">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3A62DC"/>
    <w:multiLevelType w:val="hybridMultilevel"/>
    <w:tmpl w:val="900A599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 w15:restartNumberingAfterBreak="0">
    <w:nsid w:val="32366E65"/>
    <w:multiLevelType w:val="multilevel"/>
    <w:tmpl w:val="A0D0E026"/>
    <w:lvl w:ilvl="0">
      <w:start w:val="1"/>
      <w:numFmt w:val="decimal"/>
      <w:lvlText w:val="%1."/>
      <w:lvlJc w:val="left"/>
      <w:pPr>
        <w:ind w:left="1046" w:hanging="360"/>
      </w:pPr>
      <w:rPr>
        <w:rFonts w:hint="default"/>
      </w:rPr>
    </w:lvl>
    <w:lvl w:ilvl="1">
      <w:start w:val="1"/>
      <w:numFmt w:val="decimal"/>
      <w:isLgl/>
      <w:lvlText w:val="%1.%2"/>
      <w:lvlJc w:val="left"/>
      <w:pPr>
        <w:ind w:left="1246" w:hanging="560"/>
      </w:pPr>
      <w:rPr>
        <w:rFonts w:hint="default"/>
        <w:b/>
      </w:rPr>
    </w:lvl>
    <w:lvl w:ilvl="2">
      <w:start w:val="1"/>
      <w:numFmt w:val="decimal"/>
      <w:isLgl/>
      <w:lvlText w:val="%1.%2.%3"/>
      <w:lvlJc w:val="left"/>
      <w:pPr>
        <w:ind w:left="1406" w:hanging="720"/>
      </w:pPr>
      <w:rPr>
        <w:rFonts w:hint="default"/>
      </w:rPr>
    </w:lvl>
    <w:lvl w:ilvl="3">
      <w:start w:val="1"/>
      <w:numFmt w:val="decimal"/>
      <w:isLgl/>
      <w:lvlText w:val="%1.%2.%3.%4"/>
      <w:lvlJc w:val="left"/>
      <w:pPr>
        <w:ind w:left="1406" w:hanging="720"/>
      </w:pPr>
      <w:rPr>
        <w:rFonts w:hint="default"/>
      </w:rPr>
    </w:lvl>
    <w:lvl w:ilvl="4">
      <w:start w:val="1"/>
      <w:numFmt w:val="decimal"/>
      <w:isLgl/>
      <w:lvlText w:val="%1.%2.%3.%4.%5"/>
      <w:lvlJc w:val="left"/>
      <w:pPr>
        <w:ind w:left="1766" w:hanging="1080"/>
      </w:pPr>
      <w:rPr>
        <w:rFonts w:hint="default"/>
      </w:rPr>
    </w:lvl>
    <w:lvl w:ilvl="5">
      <w:start w:val="1"/>
      <w:numFmt w:val="decimal"/>
      <w:isLgl/>
      <w:lvlText w:val="%1.%2.%3.%4.%5.%6"/>
      <w:lvlJc w:val="left"/>
      <w:pPr>
        <w:ind w:left="1766" w:hanging="1080"/>
      </w:pPr>
      <w:rPr>
        <w:rFonts w:hint="default"/>
      </w:rPr>
    </w:lvl>
    <w:lvl w:ilvl="6">
      <w:start w:val="1"/>
      <w:numFmt w:val="decimal"/>
      <w:isLgl/>
      <w:lvlText w:val="%1.%2.%3.%4.%5.%6.%7"/>
      <w:lvlJc w:val="left"/>
      <w:pPr>
        <w:ind w:left="2126" w:hanging="1440"/>
      </w:pPr>
      <w:rPr>
        <w:rFonts w:hint="default"/>
      </w:rPr>
    </w:lvl>
    <w:lvl w:ilvl="7">
      <w:start w:val="1"/>
      <w:numFmt w:val="decimal"/>
      <w:isLgl/>
      <w:lvlText w:val="%1.%2.%3.%4.%5.%6.%7.%8"/>
      <w:lvlJc w:val="left"/>
      <w:pPr>
        <w:ind w:left="2126" w:hanging="1440"/>
      </w:pPr>
      <w:rPr>
        <w:rFonts w:hint="default"/>
      </w:rPr>
    </w:lvl>
    <w:lvl w:ilvl="8">
      <w:start w:val="1"/>
      <w:numFmt w:val="decimal"/>
      <w:isLgl/>
      <w:lvlText w:val="%1.%2.%3.%4.%5.%6.%7.%8.%9"/>
      <w:lvlJc w:val="left"/>
      <w:pPr>
        <w:ind w:left="2486" w:hanging="1800"/>
      </w:pPr>
      <w:rPr>
        <w:rFonts w:hint="default"/>
      </w:rPr>
    </w:lvl>
  </w:abstractNum>
  <w:abstractNum w:abstractNumId="2" w15:restartNumberingAfterBreak="0">
    <w:nsid w:val="57C26DC7"/>
    <w:multiLevelType w:val="hybridMultilevel"/>
    <w:tmpl w:val="551A53DC"/>
    <w:lvl w:ilvl="0" w:tplc="BDBED9DC">
      <w:start w:val="3"/>
      <w:numFmt w:val="decimal"/>
      <w:lvlText w:val="%1."/>
      <w:lvlJc w:val="left"/>
      <w:pPr>
        <w:ind w:left="1046" w:hanging="360"/>
      </w:pPr>
      <w:rPr>
        <w:rFonts w:hint="default"/>
      </w:rPr>
    </w:lvl>
    <w:lvl w:ilvl="1" w:tplc="08090019" w:tentative="1">
      <w:start w:val="1"/>
      <w:numFmt w:val="lowerLetter"/>
      <w:lvlText w:val="%2."/>
      <w:lvlJc w:val="left"/>
      <w:pPr>
        <w:ind w:left="1766" w:hanging="360"/>
      </w:pPr>
    </w:lvl>
    <w:lvl w:ilvl="2" w:tplc="0809001B" w:tentative="1">
      <w:start w:val="1"/>
      <w:numFmt w:val="lowerRoman"/>
      <w:lvlText w:val="%3."/>
      <w:lvlJc w:val="right"/>
      <w:pPr>
        <w:ind w:left="2486" w:hanging="180"/>
      </w:pPr>
    </w:lvl>
    <w:lvl w:ilvl="3" w:tplc="0809000F" w:tentative="1">
      <w:start w:val="1"/>
      <w:numFmt w:val="decimal"/>
      <w:lvlText w:val="%4."/>
      <w:lvlJc w:val="left"/>
      <w:pPr>
        <w:ind w:left="3206" w:hanging="360"/>
      </w:pPr>
    </w:lvl>
    <w:lvl w:ilvl="4" w:tplc="08090019" w:tentative="1">
      <w:start w:val="1"/>
      <w:numFmt w:val="lowerLetter"/>
      <w:lvlText w:val="%5."/>
      <w:lvlJc w:val="left"/>
      <w:pPr>
        <w:ind w:left="3926" w:hanging="360"/>
      </w:pPr>
    </w:lvl>
    <w:lvl w:ilvl="5" w:tplc="0809001B" w:tentative="1">
      <w:start w:val="1"/>
      <w:numFmt w:val="lowerRoman"/>
      <w:lvlText w:val="%6."/>
      <w:lvlJc w:val="right"/>
      <w:pPr>
        <w:ind w:left="4646" w:hanging="180"/>
      </w:pPr>
    </w:lvl>
    <w:lvl w:ilvl="6" w:tplc="0809000F" w:tentative="1">
      <w:start w:val="1"/>
      <w:numFmt w:val="decimal"/>
      <w:lvlText w:val="%7."/>
      <w:lvlJc w:val="left"/>
      <w:pPr>
        <w:ind w:left="5366" w:hanging="360"/>
      </w:pPr>
    </w:lvl>
    <w:lvl w:ilvl="7" w:tplc="08090019" w:tentative="1">
      <w:start w:val="1"/>
      <w:numFmt w:val="lowerLetter"/>
      <w:lvlText w:val="%8."/>
      <w:lvlJc w:val="left"/>
      <w:pPr>
        <w:ind w:left="6086" w:hanging="360"/>
      </w:pPr>
    </w:lvl>
    <w:lvl w:ilvl="8" w:tplc="0809001B" w:tentative="1">
      <w:start w:val="1"/>
      <w:numFmt w:val="lowerRoman"/>
      <w:lvlText w:val="%9."/>
      <w:lvlJc w:val="right"/>
      <w:pPr>
        <w:ind w:left="6806" w:hanging="180"/>
      </w:pPr>
    </w:lvl>
  </w:abstractNum>
  <w:abstractNum w:abstractNumId="3" w15:restartNumberingAfterBreak="0">
    <w:nsid w:val="649D14C4"/>
    <w:multiLevelType w:val="multilevel"/>
    <w:tmpl w:val="5EDC7D7A"/>
    <w:lvl w:ilvl="0">
      <w:start w:val="1"/>
      <w:numFmt w:val="decimal"/>
      <w:lvlText w:val="%1"/>
      <w:lvlJc w:val="left"/>
      <w:pPr>
        <w:ind w:left="686" w:hanging="567"/>
      </w:pPr>
      <w:rPr>
        <w:rFonts w:ascii="Arial" w:eastAsia="Arial" w:hAnsi="Arial" w:cs="Arial" w:hint="default"/>
        <w:b/>
        <w:bCs/>
        <w:w w:val="100"/>
        <w:sz w:val="22"/>
        <w:szCs w:val="22"/>
      </w:rPr>
    </w:lvl>
    <w:lvl w:ilvl="1">
      <w:start w:val="1"/>
      <w:numFmt w:val="decimal"/>
      <w:lvlText w:val="%1.%2"/>
      <w:lvlJc w:val="left"/>
      <w:pPr>
        <w:ind w:left="1252" w:hanging="567"/>
      </w:pPr>
      <w:rPr>
        <w:rFonts w:hint="default"/>
        <w:b/>
        <w:spacing w:val="-1"/>
        <w:w w:val="100"/>
      </w:rPr>
    </w:lvl>
    <w:lvl w:ilvl="2">
      <w:start w:val="1"/>
      <w:numFmt w:val="decimal"/>
      <w:lvlText w:val="%1.%2.%3"/>
      <w:lvlJc w:val="left"/>
      <w:pPr>
        <w:ind w:left="1252" w:hanging="567"/>
      </w:pPr>
      <w:rPr>
        <w:rFonts w:ascii="Arial" w:eastAsia="Arial" w:hAnsi="Arial" w:cs="Arial" w:hint="default"/>
        <w:spacing w:val="-1"/>
        <w:w w:val="100"/>
        <w:sz w:val="22"/>
        <w:szCs w:val="22"/>
      </w:rPr>
    </w:lvl>
    <w:lvl w:ilvl="3">
      <w:numFmt w:val="bullet"/>
      <w:lvlText w:val="•"/>
      <w:lvlJc w:val="left"/>
      <w:pPr>
        <w:ind w:left="3030" w:hanging="567"/>
      </w:pPr>
      <w:rPr>
        <w:rFonts w:hint="default"/>
      </w:rPr>
    </w:lvl>
    <w:lvl w:ilvl="4">
      <w:numFmt w:val="bullet"/>
      <w:lvlText w:val="•"/>
      <w:lvlJc w:val="left"/>
      <w:pPr>
        <w:ind w:left="3915" w:hanging="567"/>
      </w:pPr>
      <w:rPr>
        <w:rFonts w:hint="default"/>
      </w:rPr>
    </w:lvl>
    <w:lvl w:ilvl="5">
      <w:numFmt w:val="bullet"/>
      <w:lvlText w:val="•"/>
      <w:lvlJc w:val="left"/>
      <w:pPr>
        <w:ind w:left="4800" w:hanging="567"/>
      </w:pPr>
      <w:rPr>
        <w:rFonts w:hint="default"/>
      </w:rPr>
    </w:lvl>
    <w:lvl w:ilvl="6">
      <w:numFmt w:val="bullet"/>
      <w:lvlText w:val="•"/>
      <w:lvlJc w:val="left"/>
      <w:pPr>
        <w:ind w:left="5685" w:hanging="567"/>
      </w:pPr>
      <w:rPr>
        <w:rFonts w:hint="default"/>
      </w:rPr>
    </w:lvl>
    <w:lvl w:ilvl="7">
      <w:numFmt w:val="bullet"/>
      <w:lvlText w:val="•"/>
      <w:lvlJc w:val="left"/>
      <w:pPr>
        <w:ind w:left="6570" w:hanging="567"/>
      </w:pPr>
      <w:rPr>
        <w:rFonts w:hint="default"/>
      </w:rPr>
    </w:lvl>
    <w:lvl w:ilvl="8">
      <w:numFmt w:val="bullet"/>
      <w:lvlText w:val="•"/>
      <w:lvlJc w:val="left"/>
      <w:pPr>
        <w:ind w:left="7456" w:hanging="567"/>
      </w:pPr>
      <w:rPr>
        <w:rFont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7E6"/>
    <w:rsid w:val="0022679D"/>
    <w:rsid w:val="00C067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71B70"/>
  <w15:chartTrackingRefBased/>
  <w15:docId w15:val="{E21EA756-449F-4AB0-8095-F916CED22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67E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067E6"/>
    <w:pPr>
      <w:keepNext/>
      <w:outlineLvl w:val="0"/>
    </w:pPr>
    <w:rPr>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067E6"/>
    <w:rPr>
      <w:rFonts w:ascii="Times New Roman" w:eastAsia="Times New Roman" w:hAnsi="Times New Roman" w:cs="Times New Roman"/>
      <w:b/>
      <w:sz w:val="24"/>
      <w:szCs w:val="20"/>
      <w:u w:val="single"/>
    </w:rPr>
  </w:style>
  <w:style w:type="paragraph" w:styleId="ListParagraph">
    <w:name w:val="List Paragraph"/>
    <w:basedOn w:val="Normal"/>
    <w:uiPriority w:val="34"/>
    <w:qFormat/>
    <w:rsid w:val="00C067E6"/>
    <w:pPr>
      <w:ind w:left="720"/>
      <w:contextualSpacing/>
    </w:pPr>
  </w:style>
  <w:style w:type="paragraph" w:styleId="BodyText">
    <w:name w:val="Body Text"/>
    <w:basedOn w:val="Normal"/>
    <w:link w:val="BodyTextChar"/>
    <w:uiPriority w:val="1"/>
    <w:qFormat/>
    <w:rsid w:val="00C067E6"/>
    <w:pPr>
      <w:widowControl w:val="0"/>
      <w:autoSpaceDE w:val="0"/>
      <w:autoSpaceDN w:val="0"/>
    </w:pPr>
    <w:rPr>
      <w:rFonts w:ascii="Arial" w:eastAsia="Arial" w:hAnsi="Arial" w:cs="Arial"/>
      <w:sz w:val="22"/>
      <w:szCs w:val="22"/>
      <w:lang w:val="en-US"/>
    </w:rPr>
  </w:style>
  <w:style w:type="character" w:customStyle="1" w:styleId="BodyTextChar">
    <w:name w:val="Body Text Char"/>
    <w:basedOn w:val="DefaultParagraphFont"/>
    <w:link w:val="BodyText"/>
    <w:uiPriority w:val="1"/>
    <w:rsid w:val="00C067E6"/>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487</Words>
  <Characters>2778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Borders College</Company>
  <LinksUpToDate>false</LinksUpToDate>
  <CharactersWithSpaces>3259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Earp</dc:creator>
  <cp:keywords/>
  <dc:description/>
  <cp:lastModifiedBy>Ingrid Earp</cp:lastModifiedBy>
  <cp:revision>1</cp:revision>
  <dcterms:created xsi:type="dcterms:W3CDTF">2022-12-12T10:47:00Z</dcterms:created>
  <dcterms:modified xsi:type="dcterms:W3CDTF">2022-12-12T10:49:00Z</dcterms:modified>
</cp:coreProperties>
</file>