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D86" w:rsidRPr="001660AD" w:rsidRDefault="009D0D86" w:rsidP="009D0D86">
      <w:pPr>
        <w:pStyle w:val="Title"/>
        <w:rPr>
          <w:rFonts w:ascii="Arial" w:hAnsi="Arial" w:cs="Arial"/>
          <w:szCs w:val="24"/>
        </w:rPr>
      </w:pPr>
      <w:r w:rsidRPr="001660AD">
        <w:rPr>
          <w:rFonts w:ascii="Arial" w:hAnsi="Arial" w:cs="Arial"/>
          <w:szCs w:val="24"/>
        </w:rPr>
        <w:t>BORDERS COLLEGE</w:t>
      </w:r>
    </w:p>
    <w:p w:rsidR="009D0D86" w:rsidRPr="001660AD" w:rsidRDefault="009D0D86" w:rsidP="009D0D86">
      <w:pPr>
        <w:pStyle w:val="Title"/>
        <w:rPr>
          <w:rFonts w:ascii="Arial" w:hAnsi="Arial" w:cs="Arial"/>
          <w:szCs w:val="24"/>
        </w:rPr>
      </w:pPr>
    </w:p>
    <w:p w:rsidR="009D0D86" w:rsidRPr="001660AD" w:rsidRDefault="009D0D86" w:rsidP="009D0D86">
      <w:pPr>
        <w:jc w:val="center"/>
        <w:rPr>
          <w:rFonts w:ascii="Arial" w:hAnsi="Arial" w:cs="Arial"/>
          <w:b/>
        </w:rPr>
      </w:pPr>
      <w:r w:rsidRPr="001660AD">
        <w:rPr>
          <w:rFonts w:ascii="Arial" w:hAnsi="Arial" w:cs="Arial"/>
          <w:b/>
        </w:rPr>
        <w:t>REMUNERATION COMMITTEE</w:t>
      </w:r>
    </w:p>
    <w:p w:rsidR="009D0D86" w:rsidRPr="001660AD" w:rsidRDefault="009D0D86" w:rsidP="009D0D86">
      <w:pPr>
        <w:jc w:val="center"/>
        <w:rPr>
          <w:rFonts w:ascii="Arial" w:hAnsi="Arial" w:cs="Arial"/>
          <w:b/>
        </w:rPr>
      </w:pPr>
    </w:p>
    <w:p w:rsidR="009D0D86" w:rsidRPr="001660AD" w:rsidRDefault="009D0D86" w:rsidP="009D0D86">
      <w:pPr>
        <w:jc w:val="center"/>
        <w:rPr>
          <w:rFonts w:ascii="Arial" w:hAnsi="Arial" w:cs="Arial"/>
          <w:b/>
        </w:rPr>
      </w:pPr>
      <w:r w:rsidRPr="001660AD">
        <w:rPr>
          <w:rFonts w:ascii="Arial" w:hAnsi="Arial" w:cs="Arial"/>
          <w:b/>
        </w:rPr>
        <w:t>TERMS OF REFERENCE</w:t>
      </w:r>
    </w:p>
    <w:p w:rsidR="009D0D86" w:rsidRPr="001660AD" w:rsidRDefault="009D0D86" w:rsidP="009D0D86">
      <w:pPr>
        <w:tabs>
          <w:tab w:val="left" w:pos="2160"/>
        </w:tabs>
        <w:ind w:left="2160" w:hanging="2160"/>
        <w:jc w:val="center"/>
        <w:rPr>
          <w:rFonts w:ascii="Arial" w:hAnsi="Arial" w:cs="Arial"/>
        </w:rPr>
      </w:pPr>
    </w:p>
    <w:p w:rsidR="009D0D86" w:rsidRPr="001660AD" w:rsidRDefault="009D0D86" w:rsidP="009D0D86">
      <w:pPr>
        <w:tabs>
          <w:tab w:val="left" w:pos="2160"/>
        </w:tabs>
        <w:ind w:left="2160" w:hanging="2160"/>
        <w:jc w:val="both"/>
        <w:rPr>
          <w:rFonts w:ascii="Arial" w:hAnsi="Arial" w:cs="Arial"/>
        </w:rPr>
      </w:pPr>
    </w:p>
    <w:p w:rsidR="009D0D86" w:rsidRPr="001660AD" w:rsidRDefault="009D0D86" w:rsidP="009D0D86">
      <w:pPr>
        <w:pStyle w:val="ListParagraph"/>
        <w:numPr>
          <w:ilvl w:val="0"/>
          <w:numId w:val="3"/>
        </w:numPr>
        <w:ind w:left="709" w:hanging="425"/>
        <w:rPr>
          <w:rFonts w:ascii="Arial" w:hAnsi="Arial" w:cs="Arial"/>
          <w:b/>
        </w:rPr>
      </w:pPr>
      <w:r w:rsidRPr="001660AD">
        <w:rPr>
          <w:rFonts w:ascii="Arial" w:hAnsi="Arial" w:cs="Arial"/>
          <w:b/>
        </w:rPr>
        <w:t>Constitution</w:t>
      </w:r>
    </w:p>
    <w:p w:rsidR="009D0D86" w:rsidRPr="001660AD" w:rsidRDefault="009D0D86" w:rsidP="009D0D86">
      <w:pPr>
        <w:tabs>
          <w:tab w:val="left" w:pos="1701"/>
        </w:tabs>
        <w:rPr>
          <w:rFonts w:ascii="Arial" w:hAnsi="Arial" w:cs="Arial"/>
          <w:b/>
        </w:rPr>
      </w:pPr>
    </w:p>
    <w:p w:rsidR="009D0D86" w:rsidRPr="001660AD" w:rsidRDefault="009D0D86" w:rsidP="009D0D86">
      <w:pPr>
        <w:tabs>
          <w:tab w:val="left" w:pos="1418"/>
        </w:tabs>
        <w:ind w:left="709"/>
        <w:rPr>
          <w:rFonts w:ascii="Arial" w:hAnsi="Arial" w:cs="Arial"/>
          <w:b/>
        </w:rPr>
      </w:pPr>
      <w:r w:rsidRPr="001660AD">
        <w:rPr>
          <w:rFonts w:ascii="Arial" w:hAnsi="Arial" w:cs="Arial"/>
          <w:bCs/>
        </w:rPr>
        <w:t xml:space="preserve">A minimum of three non-executive </w:t>
      </w:r>
      <w:r w:rsidRPr="001660AD">
        <w:rPr>
          <w:rFonts w:ascii="Arial" w:hAnsi="Arial" w:cs="Arial"/>
        </w:rPr>
        <w:t>members in addition to the Chair of the Regional Board.  For the avoidance of doubt, the Principal of the College is ineligible for appointment but shall be an adviser to the Committee regarding proposals relating to other members of the Executive Team. He or she may not take part in the determination of any such matter.  Members of the College Management Team can be in attendance by invitation of the Chair.</w:t>
      </w:r>
    </w:p>
    <w:p w:rsidR="009D0D86" w:rsidRPr="001660AD" w:rsidRDefault="009D0D86" w:rsidP="009D0D86">
      <w:pPr>
        <w:tabs>
          <w:tab w:val="left" w:pos="2160"/>
        </w:tabs>
        <w:ind w:left="2160" w:hanging="2160"/>
        <w:jc w:val="both"/>
        <w:rPr>
          <w:rFonts w:ascii="Arial" w:hAnsi="Arial" w:cs="Arial"/>
          <w:b/>
        </w:rPr>
      </w:pPr>
    </w:p>
    <w:p w:rsidR="009D0D86" w:rsidRPr="001660AD" w:rsidRDefault="009D0D86" w:rsidP="009D0D86">
      <w:pPr>
        <w:pStyle w:val="ListParagraph"/>
        <w:numPr>
          <w:ilvl w:val="1"/>
          <w:numId w:val="1"/>
        </w:numPr>
        <w:tabs>
          <w:tab w:val="left" w:pos="1276"/>
        </w:tabs>
        <w:ind w:left="1985" w:hanging="1276"/>
        <w:rPr>
          <w:rFonts w:ascii="Arial" w:hAnsi="Arial" w:cs="Arial"/>
        </w:rPr>
      </w:pPr>
      <w:r w:rsidRPr="001660AD">
        <w:rPr>
          <w:rFonts w:ascii="Arial" w:hAnsi="Arial" w:cs="Arial"/>
          <w:b/>
        </w:rPr>
        <w:t xml:space="preserve">Quorum: </w:t>
      </w:r>
      <w:r w:rsidRPr="001660AD">
        <w:rPr>
          <w:rFonts w:ascii="Arial" w:hAnsi="Arial" w:cs="Arial"/>
        </w:rPr>
        <w:t>Three members of the Committee shall constitute a quorum.</w:t>
      </w:r>
    </w:p>
    <w:p w:rsidR="009D0D86" w:rsidRPr="001660AD" w:rsidRDefault="009D0D86" w:rsidP="009D0D86">
      <w:pPr>
        <w:pStyle w:val="ListParagraph"/>
        <w:tabs>
          <w:tab w:val="left" w:pos="1701"/>
        </w:tabs>
        <w:ind w:left="2058"/>
        <w:jc w:val="both"/>
        <w:rPr>
          <w:rFonts w:ascii="Arial" w:hAnsi="Arial" w:cs="Arial"/>
        </w:rPr>
      </w:pPr>
    </w:p>
    <w:p w:rsidR="009D0D86" w:rsidRPr="001660AD" w:rsidRDefault="009D0D86" w:rsidP="009D0D86">
      <w:pPr>
        <w:pStyle w:val="ListParagraph"/>
        <w:numPr>
          <w:ilvl w:val="1"/>
          <w:numId w:val="1"/>
        </w:numPr>
        <w:ind w:left="1276" w:hanging="567"/>
        <w:rPr>
          <w:rFonts w:ascii="Arial" w:hAnsi="Arial" w:cs="Arial"/>
        </w:rPr>
      </w:pPr>
      <w:r w:rsidRPr="001660AD">
        <w:rPr>
          <w:rFonts w:ascii="Arial" w:hAnsi="Arial" w:cs="Arial"/>
          <w:b/>
        </w:rPr>
        <w:t xml:space="preserve">Chair: </w:t>
      </w:r>
      <w:r w:rsidRPr="001660AD">
        <w:rPr>
          <w:rFonts w:ascii="Arial" w:hAnsi="Arial" w:cs="Arial"/>
        </w:rPr>
        <w:t>The Committee shall elect a Chair from amongst its members for approval by the Regional Board. The Chair of the Regional Board shall not act as Chair of the Committee.</w:t>
      </w:r>
    </w:p>
    <w:p w:rsidR="009D0D86" w:rsidRPr="001660AD" w:rsidRDefault="009D0D86" w:rsidP="009D0D86">
      <w:pPr>
        <w:pStyle w:val="ListParagraph"/>
        <w:rPr>
          <w:rFonts w:ascii="Arial" w:hAnsi="Arial" w:cs="Arial"/>
        </w:rPr>
      </w:pPr>
    </w:p>
    <w:p w:rsidR="009D0D86" w:rsidRPr="001660AD" w:rsidRDefault="009D0D86" w:rsidP="009D0D86">
      <w:pPr>
        <w:tabs>
          <w:tab w:val="left" w:pos="1701"/>
        </w:tabs>
        <w:jc w:val="both"/>
        <w:rPr>
          <w:rFonts w:ascii="Arial" w:hAnsi="Arial" w:cs="Arial"/>
        </w:rPr>
      </w:pPr>
    </w:p>
    <w:p w:rsidR="009D0D86" w:rsidRPr="001660AD" w:rsidRDefault="009D0D86" w:rsidP="009D0D86">
      <w:pPr>
        <w:pStyle w:val="ListParagraph"/>
        <w:numPr>
          <w:ilvl w:val="0"/>
          <w:numId w:val="3"/>
        </w:numPr>
        <w:ind w:left="709" w:hanging="425"/>
        <w:jc w:val="both"/>
        <w:rPr>
          <w:rFonts w:ascii="Arial" w:hAnsi="Arial" w:cs="Arial"/>
          <w:b/>
        </w:rPr>
      </w:pPr>
      <w:r w:rsidRPr="001660AD">
        <w:rPr>
          <w:rFonts w:ascii="Arial" w:hAnsi="Arial" w:cs="Arial"/>
          <w:b/>
        </w:rPr>
        <w:t>Terms of Reference</w:t>
      </w:r>
    </w:p>
    <w:p w:rsidR="009D0D86" w:rsidRPr="001660AD" w:rsidRDefault="009D0D86" w:rsidP="009D0D86">
      <w:pPr>
        <w:pStyle w:val="ListParagraph"/>
        <w:ind w:left="709"/>
        <w:jc w:val="both"/>
        <w:rPr>
          <w:rFonts w:ascii="Arial" w:hAnsi="Arial" w:cs="Arial"/>
          <w:b/>
        </w:rPr>
      </w:pPr>
    </w:p>
    <w:p w:rsidR="009D0D86" w:rsidRPr="001660AD" w:rsidRDefault="009D0D86" w:rsidP="009D0D86">
      <w:pPr>
        <w:tabs>
          <w:tab w:val="left" w:pos="1276"/>
          <w:tab w:val="left" w:pos="1985"/>
        </w:tabs>
        <w:ind w:left="1276" w:hanging="567"/>
        <w:rPr>
          <w:rFonts w:ascii="Arial" w:hAnsi="Arial" w:cs="Arial"/>
        </w:rPr>
      </w:pPr>
      <w:r w:rsidRPr="001660AD">
        <w:rPr>
          <w:rFonts w:ascii="Arial" w:hAnsi="Arial" w:cs="Arial"/>
          <w:b/>
        </w:rPr>
        <w:t>2.1</w:t>
      </w:r>
      <w:r w:rsidRPr="001660AD">
        <w:rPr>
          <w:rFonts w:ascii="Arial" w:hAnsi="Arial" w:cs="Arial"/>
          <w:b/>
        </w:rPr>
        <w:tab/>
      </w:r>
      <w:r w:rsidRPr="001660AD">
        <w:rPr>
          <w:rFonts w:ascii="Arial" w:hAnsi="Arial" w:cs="Arial"/>
        </w:rPr>
        <w:t xml:space="preserve">To determine and review the salaries, terms and conditions and pension arrangements of the Principal and other members of the Executive Team; </w:t>
      </w:r>
    </w:p>
    <w:p w:rsidR="009D0D86" w:rsidRPr="001660AD" w:rsidRDefault="009D0D86" w:rsidP="009D0D86">
      <w:pPr>
        <w:tabs>
          <w:tab w:val="left" w:pos="1276"/>
          <w:tab w:val="left" w:pos="1985"/>
        </w:tabs>
        <w:ind w:left="1276" w:hanging="567"/>
        <w:rPr>
          <w:rFonts w:ascii="Arial" w:hAnsi="Arial" w:cs="Arial"/>
        </w:rPr>
      </w:pPr>
      <w:r w:rsidRPr="001660AD">
        <w:rPr>
          <w:rFonts w:ascii="Arial" w:hAnsi="Arial" w:cs="Arial"/>
          <w:b/>
        </w:rPr>
        <w:t>2.2</w:t>
      </w:r>
      <w:r w:rsidRPr="001660AD">
        <w:rPr>
          <w:rFonts w:ascii="Arial" w:hAnsi="Arial" w:cs="Arial"/>
          <w:b/>
        </w:rPr>
        <w:tab/>
      </w:r>
      <w:r w:rsidRPr="001660AD">
        <w:rPr>
          <w:rFonts w:ascii="Arial" w:hAnsi="Arial" w:cs="Arial"/>
        </w:rPr>
        <w:t>To determine the performance framework applied to the Principal and senior staff, adopting a process consistent with the requirements of the Code of Good Governance;</w:t>
      </w:r>
    </w:p>
    <w:p w:rsidR="009D0D86" w:rsidRPr="001660AD" w:rsidRDefault="009D0D86" w:rsidP="009D0D86">
      <w:pPr>
        <w:tabs>
          <w:tab w:val="left" w:pos="1985"/>
        </w:tabs>
        <w:ind w:left="1276" w:hanging="567"/>
        <w:rPr>
          <w:rFonts w:ascii="Arial" w:hAnsi="Arial" w:cs="Arial"/>
        </w:rPr>
      </w:pPr>
      <w:r w:rsidRPr="001660AD">
        <w:rPr>
          <w:rFonts w:ascii="Arial" w:hAnsi="Arial" w:cs="Arial"/>
          <w:b/>
        </w:rPr>
        <w:t>2.3</w:t>
      </w:r>
      <w:r w:rsidRPr="001660AD">
        <w:rPr>
          <w:rFonts w:ascii="Arial" w:hAnsi="Arial" w:cs="Arial"/>
          <w:b/>
        </w:rPr>
        <w:tab/>
      </w:r>
      <w:r w:rsidRPr="001660AD">
        <w:rPr>
          <w:rFonts w:ascii="Arial" w:hAnsi="Arial" w:cs="Arial"/>
        </w:rPr>
        <w:t>To consider and respond to any appeals made by senior executives in relation to 2.1 and 2.2 above; and</w:t>
      </w:r>
    </w:p>
    <w:p w:rsidR="009D0D86" w:rsidRPr="001660AD" w:rsidRDefault="009D0D86" w:rsidP="009D0D86">
      <w:pPr>
        <w:ind w:left="1276" w:hanging="567"/>
        <w:rPr>
          <w:rFonts w:ascii="Arial" w:hAnsi="Arial" w:cs="Arial"/>
        </w:rPr>
      </w:pPr>
      <w:r w:rsidRPr="001660AD">
        <w:rPr>
          <w:rFonts w:ascii="Arial" w:hAnsi="Arial" w:cs="Arial"/>
          <w:b/>
        </w:rPr>
        <w:t>2.4</w:t>
      </w:r>
      <w:r w:rsidRPr="001660AD">
        <w:rPr>
          <w:rFonts w:ascii="Arial" w:hAnsi="Arial" w:cs="Arial"/>
        </w:rPr>
        <w:tab/>
        <w:t>To demonstrate efficient and effective use of public funds in the Committee’s decisions, so that they reflect the performance of the organisation and the requirement for its ongoing financial sustainability.</w:t>
      </w:r>
    </w:p>
    <w:p w:rsidR="009D0D86" w:rsidRPr="001660AD" w:rsidRDefault="009D0D86" w:rsidP="009D0D86">
      <w:pPr>
        <w:tabs>
          <w:tab w:val="left" w:pos="2268"/>
        </w:tabs>
        <w:jc w:val="both"/>
        <w:rPr>
          <w:rFonts w:ascii="Arial" w:hAnsi="Arial" w:cs="Arial"/>
        </w:rPr>
      </w:pPr>
      <w:r w:rsidRPr="001660AD">
        <w:rPr>
          <w:rFonts w:ascii="Arial" w:hAnsi="Arial" w:cs="Arial"/>
        </w:rPr>
        <w:t xml:space="preserve"> </w:t>
      </w:r>
    </w:p>
    <w:p w:rsidR="009D0D86" w:rsidRPr="001660AD" w:rsidRDefault="009D0D86" w:rsidP="009D0D86">
      <w:pPr>
        <w:pStyle w:val="ListParagraph"/>
        <w:numPr>
          <w:ilvl w:val="0"/>
          <w:numId w:val="3"/>
        </w:numPr>
        <w:tabs>
          <w:tab w:val="left" w:pos="1276"/>
        </w:tabs>
        <w:ind w:left="709" w:hanging="425"/>
        <w:jc w:val="both"/>
        <w:rPr>
          <w:rFonts w:ascii="Arial" w:hAnsi="Arial" w:cs="Arial"/>
          <w:b/>
        </w:rPr>
      </w:pPr>
      <w:r w:rsidRPr="001660AD">
        <w:rPr>
          <w:rFonts w:ascii="Arial" w:hAnsi="Arial" w:cs="Arial"/>
          <w:b/>
        </w:rPr>
        <w:t>Authority</w:t>
      </w:r>
    </w:p>
    <w:p w:rsidR="009D0D86" w:rsidRPr="001660AD" w:rsidRDefault="009D0D86" w:rsidP="009D0D86">
      <w:pPr>
        <w:pStyle w:val="ListParagraph"/>
        <w:tabs>
          <w:tab w:val="left" w:pos="1276"/>
        </w:tabs>
        <w:ind w:left="2880"/>
        <w:jc w:val="both"/>
        <w:rPr>
          <w:rFonts w:ascii="Arial" w:hAnsi="Arial" w:cs="Arial"/>
          <w:b/>
        </w:rPr>
      </w:pPr>
    </w:p>
    <w:p w:rsidR="009D0D86" w:rsidRPr="001660AD" w:rsidRDefault="009D0D86" w:rsidP="009D0D86">
      <w:pPr>
        <w:ind w:left="709"/>
        <w:rPr>
          <w:rFonts w:ascii="Arial" w:hAnsi="Arial" w:cs="Arial"/>
        </w:rPr>
      </w:pPr>
      <w:r w:rsidRPr="001660AD">
        <w:rPr>
          <w:rFonts w:ascii="Arial" w:hAnsi="Arial" w:cs="Arial"/>
        </w:rPr>
        <w:t>The Committee is authorised by the Regional Board to obtain independent           professional advice if it considers it necessary.</w:t>
      </w:r>
    </w:p>
    <w:p w:rsidR="009D0D86" w:rsidRPr="001660AD" w:rsidRDefault="009D0D86" w:rsidP="009D0D86">
      <w:pPr>
        <w:jc w:val="both"/>
        <w:rPr>
          <w:rFonts w:ascii="Arial" w:hAnsi="Arial" w:cs="Arial"/>
          <w:b/>
        </w:rPr>
      </w:pPr>
    </w:p>
    <w:p w:rsidR="009D0D86" w:rsidRPr="001660AD" w:rsidRDefault="009D0D86" w:rsidP="009D0D86">
      <w:pPr>
        <w:pStyle w:val="ListParagraph"/>
        <w:tabs>
          <w:tab w:val="left" w:pos="1276"/>
          <w:tab w:val="left" w:pos="1701"/>
        </w:tabs>
        <w:ind w:left="709" w:hanging="425"/>
        <w:jc w:val="both"/>
        <w:rPr>
          <w:rFonts w:ascii="Arial" w:hAnsi="Arial" w:cs="Arial"/>
          <w:b/>
        </w:rPr>
      </w:pPr>
      <w:r w:rsidRPr="001660AD">
        <w:rPr>
          <w:rFonts w:ascii="Arial" w:hAnsi="Arial" w:cs="Arial"/>
          <w:b/>
        </w:rPr>
        <w:t>4.   Meetings</w:t>
      </w:r>
    </w:p>
    <w:p w:rsidR="009D0D86" w:rsidRPr="001660AD" w:rsidRDefault="009D0D86" w:rsidP="009D0D86">
      <w:pPr>
        <w:tabs>
          <w:tab w:val="left" w:pos="1701"/>
        </w:tabs>
        <w:ind w:left="720"/>
        <w:jc w:val="both"/>
        <w:rPr>
          <w:rFonts w:ascii="Arial" w:hAnsi="Arial" w:cs="Arial"/>
          <w:b/>
        </w:rPr>
      </w:pPr>
    </w:p>
    <w:p w:rsidR="009D0D86" w:rsidRPr="001660AD" w:rsidRDefault="009D0D86" w:rsidP="009D0D86">
      <w:pPr>
        <w:ind w:left="709"/>
        <w:rPr>
          <w:rFonts w:ascii="Arial" w:hAnsi="Arial" w:cs="Arial"/>
        </w:rPr>
      </w:pPr>
      <w:r w:rsidRPr="001660AD">
        <w:rPr>
          <w:rFonts w:ascii="Arial" w:hAnsi="Arial" w:cs="Arial"/>
        </w:rPr>
        <w:t>The Committee shall meet at least once yearly, more frequently as necessary.</w:t>
      </w:r>
    </w:p>
    <w:p w:rsidR="009D0D86" w:rsidRDefault="009D0D86" w:rsidP="009D0D86">
      <w:pPr>
        <w:rPr>
          <w:rFonts w:ascii="Arial" w:hAnsi="Arial" w:cs="Arial"/>
        </w:rPr>
      </w:pPr>
    </w:p>
    <w:p w:rsidR="009D0D86" w:rsidRPr="009D0D86" w:rsidRDefault="009D0D86" w:rsidP="009D0D86">
      <w:pPr>
        <w:pStyle w:val="ListParagraph"/>
        <w:numPr>
          <w:ilvl w:val="0"/>
          <w:numId w:val="4"/>
        </w:numPr>
        <w:rPr>
          <w:rFonts w:ascii="Arial" w:hAnsi="Arial" w:cs="Arial"/>
          <w:b/>
        </w:rPr>
      </w:pPr>
      <w:r w:rsidRPr="009D0D86">
        <w:rPr>
          <w:rFonts w:ascii="Arial" w:hAnsi="Arial" w:cs="Arial"/>
          <w:b/>
        </w:rPr>
        <w:t>Reporting</w:t>
      </w:r>
    </w:p>
    <w:p w:rsidR="009D0D86" w:rsidRDefault="009D0D86" w:rsidP="009D0D86">
      <w:pPr>
        <w:pStyle w:val="ListParagraph"/>
        <w:ind w:left="709"/>
        <w:rPr>
          <w:rFonts w:ascii="Arial" w:hAnsi="Arial" w:cs="Arial"/>
        </w:rPr>
      </w:pPr>
    </w:p>
    <w:p w:rsidR="009D0D86" w:rsidRPr="00B401A3" w:rsidRDefault="009D0D86" w:rsidP="009D0D86">
      <w:pPr>
        <w:pStyle w:val="ListParagraph"/>
        <w:ind w:left="709"/>
        <w:rPr>
          <w:rFonts w:ascii="Arial" w:hAnsi="Arial" w:cs="Arial"/>
          <w:b/>
        </w:rPr>
      </w:pPr>
      <w:r w:rsidRPr="00B401A3">
        <w:rPr>
          <w:rFonts w:ascii="Arial" w:hAnsi="Arial" w:cs="Arial"/>
        </w:rPr>
        <w:t>All members of the Regional Board shall receive a copy of the minutes of each meeting and the Chair of the Committee shall make a report at the following Regional Board meeting.</w:t>
      </w:r>
    </w:p>
    <w:p w:rsidR="009D0D86" w:rsidRPr="001660AD" w:rsidRDefault="009D0D86" w:rsidP="009D0D86">
      <w:pPr>
        <w:jc w:val="both"/>
        <w:rPr>
          <w:rFonts w:ascii="Arial" w:hAnsi="Arial" w:cs="Arial"/>
        </w:rPr>
      </w:pPr>
    </w:p>
    <w:p w:rsidR="0022679D" w:rsidRDefault="009D0D86" w:rsidP="009D0D86">
      <w:pPr>
        <w:jc w:val="both"/>
      </w:pPr>
      <w:r w:rsidRPr="001660AD">
        <w:rPr>
          <w:rFonts w:ascii="Arial" w:hAnsi="Arial" w:cs="Arial"/>
        </w:rPr>
        <w:t xml:space="preserve">      Approved by the Board </w:t>
      </w:r>
      <w:r>
        <w:rPr>
          <w:rFonts w:ascii="Arial" w:hAnsi="Arial" w:cs="Arial"/>
        </w:rPr>
        <w:t>–</w:t>
      </w:r>
      <w:r w:rsidRPr="001660AD">
        <w:rPr>
          <w:rFonts w:ascii="Arial" w:hAnsi="Arial" w:cs="Arial"/>
        </w:rPr>
        <w:t xml:space="preserve"> </w:t>
      </w:r>
      <w:r>
        <w:rPr>
          <w:rFonts w:ascii="Arial" w:hAnsi="Arial" w:cs="Arial"/>
        </w:rPr>
        <w:t>1 Dec 2022</w:t>
      </w:r>
      <w:r w:rsidRPr="001660AD">
        <w:rPr>
          <w:rFonts w:ascii="Arial" w:hAnsi="Arial" w:cs="Arial"/>
        </w:rPr>
        <w:tab/>
        <w:t xml:space="preserve">    Date of Next Board Review </w:t>
      </w:r>
      <w:r>
        <w:rPr>
          <w:rFonts w:ascii="Arial" w:hAnsi="Arial" w:cs="Arial"/>
        </w:rPr>
        <w:t>–</w:t>
      </w:r>
      <w:r w:rsidRPr="001660AD">
        <w:rPr>
          <w:rFonts w:ascii="Arial" w:hAnsi="Arial" w:cs="Arial"/>
        </w:rPr>
        <w:t xml:space="preserve"> </w:t>
      </w:r>
      <w:r>
        <w:rPr>
          <w:rFonts w:ascii="Arial" w:hAnsi="Arial" w:cs="Arial"/>
        </w:rPr>
        <w:t>June 2023</w:t>
      </w:r>
      <w:bookmarkStart w:id="0" w:name="_GoBack"/>
      <w:bookmarkEnd w:id="0"/>
    </w:p>
    <w:sectPr w:rsidR="0022679D" w:rsidSect="009D0D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EB1"/>
    <w:multiLevelType w:val="multilevel"/>
    <w:tmpl w:val="48D8D67C"/>
    <w:lvl w:ilvl="0">
      <w:start w:val="1"/>
      <w:numFmt w:val="decimal"/>
      <w:lvlText w:val="%1"/>
      <w:lvlJc w:val="left"/>
      <w:pPr>
        <w:ind w:left="2880" w:hanging="2160"/>
      </w:pPr>
      <w:rPr>
        <w:rFonts w:hint="default"/>
      </w:rPr>
    </w:lvl>
    <w:lvl w:ilvl="1">
      <w:start w:val="1"/>
      <w:numFmt w:val="decimal"/>
      <w:isLgl/>
      <w:lvlText w:val="%1.%2"/>
      <w:lvlJc w:val="left"/>
      <w:pPr>
        <w:ind w:left="1778" w:hanging="360"/>
      </w:pPr>
      <w:rPr>
        <w:rFonts w:hint="default"/>
        <w:b/>
      </w:rPr>
    </w:lvl>
    <w:lvl w:ilvl="2">
      <w:start w:val="1"/>
      <w:numFmt w:val="decimal"/>
      <w:isLgl/>
      <w:lvlText w:val="%1.%2.%3"/>
      <w:lvlJc w:val="left"/>
      <w:pPr>
        <w:ind w:left="3396" w:hanging="720"/>
      </w:pPr>
      <w:rPr>
        <w:rFonts w:hint="default"/>
        <w:b/>
      </w:rPr>
    </w:lvl>
    <w:lvl w:ilvl="3">
      <w:start w:val="1"/>
      <w:numFmt w:val="decimal"/>
      <w:isLgl/>
      <w:lvlText w:val="%1.%2.%3.%4"/>
      <w:lvlJc w:val="left"/>
      <w:pPr>
        <w:ind w:left="4374" w:hanging="720"/>
      </w:pPr>
      <w:rPr>
        <w:rFonts w:hint="default"/>
        <w:b/>
      </w:rPr>
    </w:lvl>
    <w:lvl w:ilvl="4">
      <w:start w:val="1"/>
      <w:numFmt w:val="decimal"/>
      <w:isLgl/>
      <w:lvlText w:val="%1.%2.%3.%4.%5"/>
      <w:lvlJc w:val="left"/>
      <w:pPr>
        <w:ind w:left="5712" w:hanging="1080"/>
      </w:pPr>
      <w:rPr>
        <w:rFonts w:hint="default"/>
        <w:b/>
      </w:rPr>
    </w:lvl>
    <w:lvl w:ilvl="5">
      <w:start w:val="1"/>
      <w:numFmt w:val="decimal"/>
      <w:isLgl/>
      <w:lvlText w:val="%1.%2.%3.%4.%5.%6"/>
      <w:lvlJc w:val="left"/>
      <w:pPr>
        <w:ind w:left="6690" w:hanging="1080"/>
      </w:pPr>
      <w:rPr>
        <w:rFonts w:hint="default"/>
        <w:b/>
      </w:rPr>
    </w:lvl>
    <w:lvl w:ilvl="6">
      <w:start w:val="1"/>
      <w:numFmt w:val="decimal"/>
      <w:isLgl/>
      <w:lvlText w:val="%1.%2.%3.%4.%5.%6.%7"/>
      <w:lvlJc w:val="left"/>
      <w:pPr>
        <w:ind w:left="8028" w:hanging="1440"/>
      </w:pPr>
      <w:rPr>
        <w:rFonts w:hint="default"/>
        <w:b/>
      </w:rPr>
    </w:lvl>
    <w:lvl w:ilvl="7">
      <w:start w:val="1"/>
      <w:numFmt w:val="decimal"/>
      <w:isLgl/>
      <w:lvlText w:val="%1.%2.%3.%4.%5.%6.%7.%8"/>
      <w:lvlJc w:val="left"/>
      <w:pPr>
        <w:ind w:left="9006" w:hanging="1440"/>
      </w:pPr>
      <w:rPr>
        <w:rFonts w:hint="default"/>
        <w:b/>
      </w:rPr>
    </w:lvl>
    <w:lvl w:ilvl="8">
      <w:start w:val="1"/>
      <w:numFmt w:val="decimal"/>
      <w:isLgl/>
      <w:lvlText w:val="%1.%2.%3.%4.%5.%6.%7.%8.%9"/>
      <w:lvlJc w:val="left"/>
      <w:pPr>
        <w:ind w:left="10344" w:hanging="1800"/>
      </w:pPr>
      <w:rPr>
        <w:rFonts w:hint="default"/>
        <w:b/>
      </w:rPr>
    </w:lvl>
  </w:abstractNum>
  <w:abstractNum w:abstractNumId="1" w15:restartNumberingAfterBreak="0">
    <w:nsid w:val="3F4F73DF"/>
    <w:multiLevelType w:val="hybridMultilevel"/>
    <w:tmpl w:val="1ABAA51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E6DEF"/>
    <w:multiLevelType w:val="multilevel"/>
    <w:tmpl w:val="DF58C408"/>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3" w15:restartNumberingAfterBreak="0">
    <w:nsid w:val="59625974"/>
    <w:multiLevelType w:val="hybridMultilevel"/>
    <w:tmpl w:val="1042013C"/>
    <w:lvl w:ilvl="0" w:tplc="33A6D280">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86"/>
    <w:rsid w:val="0022679D"/>
    <w:rsid w:val="009D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FB92"/>
  <w15:chartTrackingRefBased/>
  <w15:docId w15:val="{1BA2B862-6332-40BA-B84E-C15E7D16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D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86"/>
    <w:pPr>
      <w:ind w:left="720"/>
      <w:contextualSpacing/>
    </w:pPr>
  </w:style>
  <w:style w:type="paragraph" w:styleId="Title">
    <w:name w:val="Title"/>
    <w:basedOn w:val="Normal"/>
    <w:link w:val="TitleChar"/>
    <w:qFormat/>
    <w:rsid w:val="009D0D86"/>
    <w:pPr>
      <w:jc w:val="center"/>
    </w:pPr>
    <w:rPr>
      <w:b/>
      <w:szCs w:val="20"/>
    </w:rPr>
  </w:style>
  <w:style w:type="character" w:customStyle="1" w:styleId="TitleChar">
    <w:name w:val="Title Char"/>
    <w:basedOn w:val="DefaultParagraphFont"/>
    <w:link w:val="Title"/>
    <w:rsid w:val="009D0D8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Borders College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Earp</dc:creator>
  <cp:keywords/>
  <dc:description/>
  <cp:lastModifiedBy>Ingrid Earp</cp:lastModifiedBy>
  <cp:revision>1</cp:revision>
  <dcterms:created xsi:type="dcterms:W3CDTF">2022-12-12T10:51:00Z</dcterms:created>
  <dcterms:modified xsi:type="dcterms:W3CDTF">2022-12-12T10:53:00Z</dcterms:modified>
</cp:coreProperties>
</file>